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3AE0" w14:textId="77777777" w:rsidR="0089459D" w:rsidRPr="00BF389E" w:rsidRDefault="0089459D" w:rsidP="00AE45F5">
      <w:pPr>
        <w:pStyle w:val="BodyText3"/>
        <w:tabs>
          <w:tab w:val="left" w:pos="284"/>
          <w:tab w:val="left" w:pos="426"/>
        </w:tabs>
        <w:spacing w:line="276" w:lineRule="auto"/>
        <w:jc w:val="right"/>
        <w:rPr>
          <w:rFonts w:ascii="Calibri" w:hAnsi="Calibri" w:cs="Calibri"/>
          <w:b w:val="0"/>
          <w:sz w:val="22"/>
          <w:szCs w:val="22"/>
        </w:rPr>
      </w:pPr>
    </w:p>
    <w:p w14:paraId="1F98BD56" w14:textId="66A8D9FF" w:rsidR="00CC7CFE" w:rsidRPr="00BF389E" w:rsidRDefault="00CC7CFE" w:rsidP="00C1216B">
      <w:pPr>
        <w:pStyle w:val="BodyText3"/>
        <w:tabs>
          <w:tab w:val="left" w:pos="284"/>
          <w:tab w:val="left" w:pos="426"/>
        </w:tabs>
        <w:spacing w:line="276" w:lineRule="auto"/>
        <w:rPr>
          <w:rFonts w:ascii="Calibri" w:hAnsi="Calibri" w:cs="Calibri"/>
          <w:sz w:val="22"/>
          <w:szCs w:val="22"/>
        </w:rPr>
      </w:pPr>
      <w:r w:rsidRPr="00BF389E">
        <w:rPr>
          <w:rFonts w:ascii="Calibri" w:hAnsi="Calibri" w:cs="Calibri"/>
          <w:sz w:val="22"/>
          <w:szCs w:val="22"/>
        </w:rPr>
        <w:t>Paziņojums par lēmumu</w:t>
      </w:r>
    </w:p>
    <w:p w14:paraId="49DF2055" w14:textId="0496D8FF" w:rsidR="00A522AE" w:rsidRPr="00BF389E" w:rsidRDefault="00CC7CFE" w:rsidP="00C1216B">
      <w:pPr>
        <w:pStyle w:val="BodyText3"/>
        <w:tabs>
          <w:tab w:val="left" w:pos="284"/>
          <w:tab w:val="left" w:pos="426"/>
        </w:tabs>
        <w:spacing w:line="276" w:lineRule="auto"/>
        <w:rPr>
          <w:rFonts w:ascii="Calibri" w:hAnsi="Calibri" w:cs="Calibri"/>
          <w:b w:val="0"/>
          <w:sz w:val="22"/>
          <w:szCs w:val="22"/>
        </w:rPr>
      </w:pPr>
      <w:r w:rsidRPr="00BF389E">
        <w:rPr>
          <w:rFonts w:ascii="Calibri" w:hAnsi="Calibri" w:cs="Calibri"/>
          <w:b w:val="0"/>
          <w:sz w:val="22"/>
          <w:szCs w:val="22"/>
        </w:rPr>
        <w:t xml:space="preserve">Publisko iepirkumu likuma </w:t>
      </w:r>
      <w:r w:rsidR="003131D3" w:rsidRPr="00BF389E">
        <w:rPr>
          <w:rFonts w:ascii="Calibri" w:hAnsi="Calibri" w:cs="Calibri"/>
          <w:b w:val="0"/>
          <w:sz w:val="22"/>
          <w:szCs w:val="22"/>
        </w:rPr>
        <w:t>9.</w:t>
      </w:r>
      <w:r w:rsidR="003D6198" w:rsidRPr="00BF389E">
        <w:rPr>
          <w:rFonts w:ascii="Calibri" w:hAnsi="Calibri" w:cs="Calibri"/>
          <w:b w:val="0"/>
          <w:sz w:val="22"/>
          <w:szCs w:val="22"/>
        </w:rPr>
        <w:t xml:space="preserve"> panta</w:t>
      </w:r>
      <w:r w:rsidRPr="00BF389E">
        <w:rPr>
          <w:rFonts w:ascii="Calibri" w:hAnsi="Calibri" w:cs="Calibri"/>
          <w:b w:val="0"/>
          <w:sz w:val="22"/>
          <w:szCs w:val="22"/>
        </w:rPr>
        <w:t xml:space="preserve"> iepirkum</w:t>
      </w:r>
      <w:r w:rsidR="007B42FF" w:rsidRPr="00BF389E">
        <w:rPr>
          <w:rFonts w:ascii="Calibri" w:hAnsi="Calibri" w:cs="Calibri"/>
          <w:b w:val="0"/>
          <w:sz w:val="22"/>
          <w:szCs w:val="22"/>
        </w:rPr>
        <w:t>am</w:t>
      </w:r>
    </w:p>
    <w:p w14:paraId="182E9EC3" w14:textId="381378D5" w:rsidR="00EF7E73" w:rsidRPr="00BF389E" w:rsidRDefault="004505DE" w:rsidP="004505DE">
      <w:pPr>
        <w:pStyle w:val="ListParagraph"/>
        <w:tabs>
          <w:tab w:val="left" w:pos="284"/>
          <w:tab w:val="left" w:pos="426"/>
        </w:tabs>
        <w:spacing w:after="120" w:line="276" w:lineRule="auto"/>
        <w:ind w:left="0"/>
        <w:jc w:val="center"/>
        <w:rPr>
          <w:rFonts w:ascii="Calibri" w:hAnsi="Calibri" w:cs="Calibri"/>
          <w:b/>
          <w:sz w:val="22"/>
          <w:szCs w:val="22"/>
          <w:u w:val="single"/>
        </w:rPr>
      </w:pPr>
      <w:r w:rsidRPr="00BF389E">
        <w:rPr>
          <w:rFonts w:ascii="Calibri" w:hAnsi="Calibri" w:cs="Calibri"/>
          <w:b/>
          <w:color w:val="000000"/>
          <w:sz w:val="22"/>
          <w:szCs w:val="22"/>
        </w:rPr>
        <w:t>„ Datortehnikas piegāde  SIA “Jūrmalas slimnīca” vajadzībām, ID Nr. SIAJS2017/20”</w:t>
      </w:r>
    </w:p>
    <w:p w14:paraId="49E4010E" w14:textId="6C0BF62F" w:rsidR="00CC7CFE" w:rsidRPr="00BF389E" w:rsidRDefault="00CC7CFE" w:rsidP="00C1216B">
      <w:pPr>
        <w:pStyle w:val="ListParagraph"/>
        <w:numPr>
          <w:ilvl w:val="0"/>
          <w:numId w:val="11"/>
        </w:numPr>
        <w:tabs>
          <w:tab w:val="left" w:pos="284"/>
          <w:tab w:val="left" w:pos="426"/>
        </w:tabs>
        <w:spacing w:after="120" w:line="276" w:lineRule="auto"/>
        <w:ind w:left="0" w:firstLine="0"/>
        <w:jc w:val="both"/>
        <w:rPr>
          <w:rFonts w:ascii="Calibri" w:hAnsi="Calibri" w:cs="Calibri"/>
          <w:b/>
          <w:sz w:val="22"/>
          <w:szCs w:val="22"/>
          <w:u w:val="single"/>
        </w:rPr>
      </w:pPr>
      <w:r w:rsidRPr="00BF389E">
        <w:rPr>
          <w:rFonts w:ascii="Calibri" w:hAnsi="Calibri" w:cs="Calibr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661"/>
        <w:gridCol w:w="2099"/>
        <w:gridCol w:w="1833"/>
        <w:gridCol w:w="2590"/>
      </w:tblGrid>
      <w:tr w:rsidR="004505DE" w:rsidRPr="00BF389E" w14:paraId="24695757" w14:textId="77777777" w:rsidTr="00170A5B">
        <w:trPr>
          <w:trHeight w:val="152"/>
          <w:tblHeader/>
        </w:trPr>
        <w:tc>
          <w:tcPr>
            <w:tcW w:w="341" w:type="pct"/>
            <w:vMerge w:val="restart"/>
            <w:vAlign w:val="center"/>
          </w:tcPr>
          <w:p w14:paraId="2F558F47" w14:textId="77777777" w:rsidR="004505DE" w:rsidRPr="00BF389E" w:rsidRDefault="004505DE" w:rsidP="004505DE">
            <w:pPr>
              <w:widowControl w:val="0"/>
              <w:autoSpaceDE w:val="0"/>
              <w:autoSpaceDN w:val="0"/>
              <w:adjustRightInd w:val="0"/>
              <w:jc w:val="center"/>
              <w:rPr>
                <w:rFonts w:ascii="Calibri" w:hAnsi="Calibri" w:cs="Calibri"/>
                <w:b/>
                <w:sz w:val="22"/>
                <w:szCs w:val="22"/>
              </w:rPr>
            </w:pPr>
            <w:r w:rsidRPr="00BF389E">
              <w:rPr>
                <w:rFonts w:ascii="Calibri" w:hAnsi="Calibri" w:cs="Calibri"/>
                <w:b/>
                <w:sz w:val="22"/>
                <w:szCs w:val="22"/>
              </w:rPr>
              <w:t>NR.</w:t>
            </w:r>
          </w:p>
        </w:tc>
        <w:tc>
          <w:tcPr>
            <w:tcW w:w="1350" w:type="pct"/>
            <w:vMerge w:val="restart"/>
            <w:vAlign w:val="center"/>
          </w:tcPr>
          <w:p w14:paraId="0066519E" w14:textId="77777777" w:rsidR="004505DE" w:rsidRPr="00BF389E" w:rsidRDefault="004505DE" w:rsidP="004505DE">
            <w:pPr>
              <w:widowControl w:val="0"/>
              <w:autoSpaceDE w:val="0"/>
              <w:autoSpaceDN w:val="0"/>
              <w:adjustRightInd w:val="0"/>
              <w:ind w:left="512"/>
              <w:jc w:val="center"/>
              <w:rPr>
                <w:rFonts w:ascii="Calibri" w:hAnsi="Calibri" w:cs="Calibri"/>
                <w:b/>
                <w:sz w:val="22"/>
                <w:szCs w:val="22"/>
              </w:rPr>
            </w:pPr>
            <w:r w:rsidRPr="00BF389E">
              <w:rPr>
                <w:rFonts w:ascii="Calibri" w:hAnsi="Calibri" w:cs="Calibri"/>
                <w:b/>
                <w:sz w:val="22"/>
                <w:szCs w:val="22"/>
              </w:rPr>
              <w:t>Pretendents</w:t>
            </w:r>
          </w:p>
        </w:tc>
        <w:tc>
          <w:tcPr>
            <w:tcW w:w="3309" w:type="pct"/>
            <w:gridSpan w:val="3"/>
            <w:vAlign w:val="center"/>
          </w:tcPr>
          <w:p w14:paraId="7055BE10" w14:textId="77777777" w:rsidR="004505DE" w:rsidRPr="00BF389E" w:rsidRDefault="004505DE" w:rsidP="004505DE">
            <w:pPr>
              <w:widowControl w:val="0"/>
              <w:autoSpaceDE w:val="0"/>
              <w:autoSpaceDN w:val="0"/>
              <w:adjustRightInd w:val="0"/>
              <w:jc w:val="center"/>
              <w:rPr>
                <w:rFonts w:ascii="Calibri" w:hAnsi="Calibri" w:cs="Calibri"/>
                <w:b/>
                <w:sz w:val="22"/>
                <w:szCs w:val="22"/>
              </w:rPr>
            </w:pPr>
            <w:r w:rsidRPr="00BF389E">
              <w:rPr>
                <w:rFonts w:ascii="Calibri" w:hAnsi="Calibri" w:cs="Calibri"/>
                <w:b/>
                <w:sz w:val="22"/>
                <w:szCs w:val="22"/>
              </w:rPr>
              <w:t>Piedāvātā līgumcena, EUR bez PVN</w:t>
            </w:r>
          </w:p>
        </w:tc>
      </w:tr>
      <w:tr w:rsidR="004505DE" w:rsidRPr="00BF389E" w14:paraId="1947BB6F" w14:textId="77777777" w:rsidTr="00170A5B">
        <w:trPr>
          <w:trHeight w:val="142"/>
          <w:tblHeader/>
        </w:trPr>
        <w:tc>
          <w:tcPr>
            <w:tcW w:w="341" w:type="pct"/>
            <w:vMerge/>
            <w:vAlign w:val="center"/>
          </w:tcPr>
          <w:p w14:paraId="78485947" w14:textId="77777777" w:rsidR="004505DE" w:rsidRPr="00BF389E" w:rsidRDefault="004505DE" w:rsidP="004505DE">
            <w:pPr>
              <w:widowControl w:val="0"/>
              <w:autoSpaceDE w:val="0"/>
              <w:autoSpaceDN w:val="0"/>
              <w:adjustRightInd w:val="0"/>
              <w:jc w:val="center"/>
              <w:rPr>
                <w:rFonts w:ascii="Calibri" w:hAnsi="Calibri" w:cs="Calibri"/>
                <w:b/>
                <w:sz w:val="22"/>
                <w:szCs w:val="22"/>
              </w:rPr>
            </w:pPr>
          </w:p>
        </w:tc>
        <w:tc>
          <w:tcPr>
            <w:tcW w:w="1350" w:type="pct"/>
            <w:vMerge/>
            <w:vAlign w:val="center"/>
          </w:tcPr>
          <w:p w14:paraId="0A95ED3C" w14:textId="77777777" w:rsidR="004505DE" w:rsidRPr="00BF389E" w:rsidRDefault="004505DE" w:rsidP="004505DE">
            <w:pPr>
              <w:widowControl w:val="0"/>
              <w:autoSpaceDE w:val="0"/>
              <w:autoSpaceDN w:val="0"/>
              <w:adjustRightInd w:val="0"/>
              <w:ind w:left="512"/>
              <w:jc w:val="center"/>
              <w:rPr>
                <w:rFonts w:ascii="Calibri" w:hAnsi="Calibri" w:cs="Calibri"/>
                <w:b/>
                <w:sz w:val="22"/>
                <w:szCs w:val="22"/>
              </w:rPr>
            </w:pPr>
          </w:p>
        </w:tc>
        <w:tc>
          <w:tcPr>
            <w:tcW w:w="1065" w:type="pct"/>
            <w:vAlign w:val="center"/>
          </w:tcPr>
          <w:p w14:paraId="34BAD4C3" w14:textId="77777777" w:rsidR="004505DE" w:rsidRPr="00BF389E" w:rsidRDefault="004505DE" w:rsidP="004505DE">
            <w:pPr>
              <w:widowControl w:val="0"/>
              <w:autoSpaceDE w:val="0"/>
              <w:autoSpaceDN w:val="0"/>
              <w:adjustRightInd w:val="0"/>
              <w:jc w:val="center"/>
              <w:rPr>
                <w:rFonts w:ascii="Calibri" w:hAnsi="Calibri" w:cs="Calibri"/>
                <w:b/>
                <w:sz w:val="22"/>
                <w:szCs w:val="22"/>
              </w:rPr>
            </w:pPr>
            <w:r w:rsidRPr="00BF389E">
              <w:rPr>
                <w:rFonts w:ascii="Calibri" w:hAnsi="Calibri" w:cs="Calibri"/>
                <w:b/>
                <w:sz w:val="22"/>
                <w:szCs w:val="22"/>
              </w:rPr>
              <w:t>Datori un programmatūra</w:t>
            </w:r>
          </w:p>
        </w:tc>
        <w:tc>
          <w:tcPr>
            <w:tcW w:w="930" w:type="pct"/>
            <w:vAlign w:val="center"/>
          </w:tcPr>
          <w:p w14:paraId="7E811EFE" w14:textId="77777777" w:rsidR="004505DE" w:rsidRPr="00BF389E" w:rsidRDefault="004505DE" w:rsidP="004505DE">
            <w:pPr>
              <w:widowControl w:val="0"/>
              <w:autoSpaceDE w:val="0"/>
              <w:autoSpaceDN w:val="0"/>
              <w:adjustRightInd w:val="0"/>
              <w:jc w:val="center"/>
              <w:rPr>
                <w:rFonts w:ascii="Calibri" w:hAnsi="Calibri" w:cs="Calibri"/>
                <w:b/>
                <w:sz w:val="22"/>
                <w:szCs w:val="22"/>
              </w:rPr>
            </w:pPr>
            <w:r w:rsidRPr="00BF389E">
              <w:rPr>
                <w:rFonts w:ascii="Calibri" w:hAnsi="Calibri" w:cs="Calibri"/>
                <w:b/>
                <w:sz w:val="22"/>
                <w:szCs w:val="22"/>
              </w:rPr>
              <w:t>Monitori, printeri un UPS</w:t>
            </w:r>
          </w:p>
        </w:tc>
        <w:tc>
          <w:tcPr>
            <w:tcW w:w="1314" w:type="pct"/>
            <w:vAlign w:val="center"/>
          </w:tcPr>
          <w:p w14:paraId="3A8EF487" w14:textId="77777777" w:rsidR="004505DE" w:rsidRPr="00BF389E" w:rsidRDefault="004505DE" w:rsidP="004505DE">
            <w:pPr>
              <w:widowControl w:val="0"/>
              <w:autoSpaceDE w:val="0"/>
              <w:autoSpaceDN w:val="0"/>
              <w:adjustRightInd w:val="0"/>
              <w:jc w:val="center"/>
              <w:rPr>
                <w:rFonts w:ascii="Calibri" w:hAnsi="Calibri" w:cs="Calibri"/>
                <w:b/>
                <w:sz w:val="22"/>
                <w:szCs w:val="22"/>
              </w:rPr>
            </w:pPr>
            <w:r w:rsidRPr="00BF389E">
              <w:rPr>
                <w:rFonts w:ascii="Calibri" w:hAnsi="Calibri" w:cs="Calibri"/>
                <w:b/>
                <w:sz w:val="22"/>
                <w:szCs w:val="22"/>
              </w:rPr>
              <w:t>Monitors RTG kabineta vajadzībām</w:t>
            </w:r>
            <w:r w:rsidRPr="00BF389E">
              <w:rPr>
                <w:rFonts w:ascii="Calibri" w:hAnsi="Calibri" w:cs="Calibri"/>
                <w:b/>
                <w:sz w:val="22"/>
                <w:szCs w:val="22"/>
              </w:rPr>
              <w:tab/>
            </w:r>
          </w:p>
        </w:tc>
      </w:tr>
      <w:tr w:rsidR="004505DE" w:rsidRPr="00BF389E" w14:paraId="6B838BC5" w14:textId="77777777" w:rsidTr="00170A5B">
        <w:trPr>
          <w:trHeight w:val="142"/>
        </w:trPr>
        <w:tc>
          <w:tcPr>
            <w:tcW w:w="341" w:type="pct"/>
          </w:tcPr>
          <w:p w14:paraId="6FEE4360"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229BA09B"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SIA “LDC Datortehnika”</w:t>
            </w:r>
          </w:p>
        </w:tc>
        <w:tc>
          <w:tcPr>
            <w:tcW w:w="1065" w:type="pct"/>
          </w:tcPr>
          <w:p w14:paraId="476D0EFC"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7621.32</w:t>
            </w:r>
          </w:p>
        </w:tc>
        <w:tc>
          <w:tcPr>
            <w:tcW w:w="930" w:type="pct"/>
          </w:tcPr>
          <w:p w14:paraId="3DE4A79F"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2268.22</w:t>
            </w:r>
          </w:p>
        </w:tc>
        <w:tc>
          <w:tcPr>
            <w:tcW w:w="1314" w:type="pct"/>
          </w:tcPr>
          <w:p w14:paraId="07FF62F2"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522.21</w:t>
            </w:r>
          </w:p>
        </w:tc>
      </w:tr>
      <w:tr w:rsidR="004505DE" w:rsidRPr="00BF389E" w14:paraId="4405D302" w14:textId="77777777" w:rsidTr="00170A5B">
        <w:trPr>
          <w:trHeight w:val="142"/>
        </w:trPr>
        <w:tc>
          <w:tcPr>
            <w:tcW w:w="341" w:type="pct"/>
          </w:tcPr>
          <w:p w14:paraId="3095E4B3"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017382AB"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SIA “</w:t>
            </w:r>
            <w:proofErr w:type="spellStart"/>
            <w:r w:rsidRPr="00BF389E">
              <w:rPr>
                <w:rFonts w:ascii="Calibri" w:hAnsi="Calibri" w:cs="Calibri"/>
                <w:sz w:val="22"/>
                <w:szCs w:val="22"/>
              </w:rPr>
              <w:t>Telcom</w:t>
            </w:r>
            <w:proofErr w:type="spellEnd"/>
            <w:r w:rsidRPr="00BF389E">
              <w:rPr>
                <w:rFonts w:ascii="Calibri" w:hAnsi="Calibri" w:cs="Calibri"/>
                <w:sz w:val="22"/>
                <w:szCs w:val="22"/>
              </w:rPr>
              <w:t>”</w:t>
            </w:r>
          </w:p>
        </w:tc>
        <w:tc>
          <w:tcPr>
            <w:tcW w:w="1065" w:type="pct"/>
          </w:tcPr>
          <w:p w14:paraId="47689337"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7844.48</w:t>
            </w:r>
          </w:p>
        </w:tc>
        <w:tc>
          <w:tcPr>
            <w:tcW w:w="930" w:type="pct"/>
          </w:tcPr>
          <w:p w14:paraId="11E48E8F"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2250.81</w:t>
            </w:r>
          </w:p>
        </w:tc>
        <w:tc>
          <w:tcPr>
            <w:tcW w:w="1314" w:type="pct"/>
          </w:tcPr>
          <w:p w14:paraId="083DC045"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509.00</w:t>
            </w:r>
          </w:p>
        </w:tc>
      </w:tr>
      <w:tr w:rsidR="004505DE" w:rsidRPr="00BF389E" w14:paraId="57549146" w14:textId="77777777" w:rsidTr="00170A5B">
        <w:trPr>
          <w:trHeight w:val="142"/>
        </w:trPr>
        <w:tc>
          <w:tcPr>
            <w:tcW w:w="341" w:type="pct"/>
          </w:tcPr>
          <w:p w14:paraId="2E7CD98E"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06B2F0A9"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SIA “</w:t>
            </w:r>
            <w:proofErr w:type="spellStart"/>
            <w:r w:rsidRPr="00BF389E">
              <w:rPr>
                <w:rFonts w:ascii="Calibri" w:hAnsi="Calibri" w:cs="Calibri"/>
                <w:sz w:val="22"/>
                <w:szCs w:val="22"/>
              </w:rPr>
              <w:t>Mercury</w:t>
            </w:r>
            <w:proofErr w:type="spellEnd"/>
            <w:r w:rsidRPr="00BF389E">
              <w:rPr>
                <w:rFonts w:ascii="Calibri" w:hAnsi="Calibri" w:cs="Calibri"/>
                <w:sz w:val="22"/>
                <w:szCs w:val="22"/>
              </w:rPr>
              <w:t xml:space="preserve"> </w:t>
            </w:r>
            <w:proofErr w:type="spellStart"/>
            <w:r w:rsidRPr="00BF389E">
              <w:rPr>
                <w:rFonts w:ascii="Calibri" w:hAnsi="Calibri" w:cs="Calibri"/>
                <w:sz w:val="22"/>
                <w:szCs w:val="22"/>
              </w:rPr>
              <w:t>Data</w:t>
            </w:r>
            <w:proofErr w:type="spellEnd"/>
            <w:r w:rsidRPr="00BF389E">
              <w:rPr>
                <w:rFonts w:ascii="Calibri" w:hAnsi="Calibri" w:cs="Calibri"/>
                <w:sz w:val="22"/>
                <w:szCs w:val="22"/>
              </w:rPr>
              <w:t xml:space="preserve"> LTD”</w:t>
            </w:r>
          </w:p>
        </w:tc>
        <w:tc>
          <w:tcPr>
            <w:tcW w:w="1065" w:type="pct"/>
          </w:tcPr>
          <w:p w14:paraId="19C72F3B"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8041.32</w:t>
            </w:r>
          </w:p>
        </w:tc>
        <w:tc>
          <w:tcPr>
            <w:tcW w:w="930" w:type="pct"/>
          </w:tcPr>
          <w:p w14:paraId="096BA7E1"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c>
          <w:tcPr>
            <w:tcW w:w="1314" w:type="pct"/>
          </w:tcPr>
          <w:p w14:paraId="0214141F"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r>
      <w:tr w:rsidR="004505DE" w:rsidRPr="00BF389E" w14:paraId="601C555A" w14:textId="77777777" w:rsidTr="00170A5B">
        <w:trPr>
          <w:trHeight w:val="142"/>
        </w:trPr>
        <w:tc>
          <w:tcPr>
            <w:tcW w:w="341" w:type="pct"/>
          </w:tcPr>
          <w:p w14:paraId="6256041F"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18E8F401"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 xml:space="preserve">SIA “MS </w:t>
            </w:r>
            <w:proofErr w:type="spellStart"/>
            <w:r w:rsidRPr="00BF389E">
              <w:rPr>
                <w:rFonts w:ascii="Calibri" w:hAnsi="Calibri" w:cs="Calibri"/>
                <w:sz w:val="22"/>
                <w:szCs w:val="22"/>
              </w:rPr>
              <w:t>Modius</w:t>
            </w:r>
            <w:proofErr w:type="spellEnd"/>
            <w:r w:rsidRPr="00BF389E">
              <w:rPr>
                <w:rFonts w:ascii="Calibri" w:hAnsi="Calibri" w:cs="Calibri"/>
                <w:sz w:val="22"/>
                <w:szCs w:val="22"/>
              </w:rPr>
              <w:t>”</w:t>
            </w:r>
          </w:p>
        </w:tc>
        <w:tc>
          <w:tcPr>
            <w:tcW w:w="1065" w:type="pct"/>
          </w:tcPr>
          <w:p w14:paraId="3BE57C91"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8003.52</w:t>
            </w:r>
          </w:p>
        </w:tc>
        <w:tc>
          <w:tcPr>
            <w:tcW w:w="930" w:type="pct"/>
          </w:tcPr>
          <w:p w14:paraId="6DE894F9"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2473.72</w:t>
            </w:r>
          </w:p>
        </w:tc>
        <w:tc>
          <w:tcPr>
            <w:tcW w:w="1314" w:type="pct"/>
          </w:tcPr>
          <w:p w14:paraId="0EA80D8B"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r>
      <w:tr w:rsidR="004505DE" w:rsidRPr="00BF389E" w14:paraId="76C8DAB9" w14:textId="77777777" w:rsidTr="00170A5B">
        <w:trPr>
          <w:trHeight w:val="142"/>
        </w:trPr>
        <w:tc>
          <w:tcPr>
            <w:tcW w:w="341" w:type="pct"/>
          </w:tcPr>
          <w:p w14:paraId="3A033EF4"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2992E7A4"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 xml:space="preserve">  </w:t>
            </w:r>
            <w:proofErr w:type="spellStart"/>
            <w:r w:rsidRPr="00BF389E">
              <w:rPr>
                <w:rFonts w:ascii="Calibri" w:hAnsi="Calibri" w:cs="Calibri"/>
                <w:sz w:val="22"/>
                <w:szCs w:val="22"/>
              </w:rPr>
              <w:t>SIA”Atea</w:t>
            </w:r>
            <w:proofErr w:type="spellEnd"/>
            <w:r w:rsidRPr="00BF389E">
              <w:rPr>
                <w:rFonts w:ascii="Calibri" w:hAnsi="Calibri" w:cs="Calibri"/>
                <w:sz w:val="22"/>
                <w:szCs w:val="22"/>
              </w:rPr>
              <w:t>”</w:t>
            </w:r>
          </w:p>
        </w:tc>
        <w:tc>
          <w:tcPr>
            <w:tcW w:w="1065" w:type="pct"/>
          </w:tcPr>
          <w:p w14:paraId="03CD3F9F"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7948.64</w:t>
            </w:r>
          </w:p>
        </w:tc>
        <w:tc>
          <w:tcPr>
            <w:tcW w:w="930" w:type="pct"/>
          </w:tcPr>
          <w:p w14:paraId="740E5D59"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2435.50</w:t>
            </w:r>
          </w:p>
        </w:tc>
        <w:tc>
          <w:tcPr>
            <w:tcW w:w="1314" w:type="pct"/>
          </w:tcPr>
          <w:p w14:paraId="66200E13"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r>
      <w:tr w:rsidR="004505DE" w:rsidRPr="00BF389E" w14:paraId="0BF7B67B" w14:textId="77777777" w:rsidTr="00170A5B">
        <w:trPr>
          <w:trHeight w:val="142"/>
        </w:trPr>
        <w:tc>
          <w:tcPr>
            <w:tcW w:w="341" w:type="pct"/>
          </w:tcPr>
          <w:p w14:paraId="127BD3A9"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3373B5F7"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SIA “</w:t>
            </w:r>
            <w:proofErr w:type="spellStart"/>
            <w:r w:rsidRPr="00BF389E">
              <w:rPr>
                <w:rFonts w:ascii="Calibri" w:hAnsi="Calibri" w:cs="Calibri"/>
                <w:sz w:val="22"/>
                <w:szCs w:val="22"/>
              </w:rPr>
              <w:t>Datakom</w:t>
            </w:r>
            <w:proofErr w:type="spellEnd"/>
            <w:r w:rsidRPr="00BF389E">
              <w:rPr>
                <w:rFonts w:ascii="Calibri" w:hAnsi="Calibri" w:cs="Calibri"/>
                <w:sz w:val="22"/>
                <w:szCs w:val="22"/>
              </w:rPr>
              <w:t>”</w:t>
            </w:r>
          </w:p>
        </w:tc>
        <w:tc>
          <w:tcPr>
            <w:tcW w:w="1065" w:type="pct"/>
          </w:tcPr>
          <w:p w14:paraId="791887B7"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9464.98</w:t>
            </w:r>
          </w:p>
        </w:tc>
        <w:tc>
          <w:tcPr>
            <w:tcW w:w="930" w:type="pct"/>
          </w:tcPr>
          <w:p w14:paraId="3D1B6028"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c>
          <w:tcPr>
            <w:tcW w:w="1314" w:type="pct"/>
          </w:tcPr>
          <w:p w14:paraId="5E44AEEE"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r>
      <w:tr w:rsidR="004505DE" w:rsidRPr="00BF389E" w14:paraId="3F4181E3" w14:textId="77777777" w:rsidTr="00170A5B">
        <w:trPr>
          <w:trHeight w:val="142"/>
        </w:trPr>
        <w:tc>
          <w:tcPr>
            <w:tcW w:w="341" w:type="pct"/>
          </w:tcPr>
          <w:p w14:paraId="3920543E"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284C93E9"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SIA “Baltijas  Informācijas tehnoloģijas”</w:t>
            </w:r>
          </w:p>
        </w:tc>
        <w:tc>
          <w:tcPr>
            <w:tcW w:w="1065" w:type="pct"/>
          </w:tcPr>
          <w:p w14:paraId="1CD30CC4"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11260.06</w:t>
            </w:r>
          </w:p>
        </w:tc>
        <w:tc>
          <w:tcPr>
            <w:tcW w:w="930" w:type="pct"/>
          </w:tcPr>
          <w:p w14:paraId="679D7ABD"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c>
          <w:tcPr>
            <w:tcW w:w="1314" w:type="pct"/>
          </w:tcPr>
          <w:p w14:paraId="1F7AA610"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r>
      <w:tr w:rsidR="004505DE" w:rsidRPr="00BF389E" w14:paraId="4C5AB54E" w14:textId="77777777" w:rsidTr="00170A5B">
        <w:trPr>
          <w:trHeight w:val="142"/>
        </w:trPr>
        <w:tc>
          <w:tcPr>
            <w:tcW w:w="341" w:type="pct"/>
          </w:tcPr>
          <w:p w14:paraId="4F20C5A5"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374B1F29"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AS “</w:t>
            </w:r>
            <w:proofErr w:type="spellStart"/>
            <w:r w:rsidRPr="00BF389E">
              <w:rPr>
                <w:rFonts w:ascii="Calibri" w:hAnsi="Calibri" w:cs="Calibri"/>
                <w:sz w:val="22"/>
                <w:szCs w:val="22"/>
              </w:rPr>
              <w:t>Capital</w:t>
            </w:r>
            <w:proofErr w:type="spellEnd"/>
            <w:r w:rsidRPr="00BF389E">
              <w:rPr>
                <w:rFonts w:ascii="Calibri" w:hAnsi="Calibri" w:cs="Calibri"/>
                <w:sz w:val="22"/>
                <w:szCs w:val="22"/>
              </w:rPr>
              <w:t>”</w:t>
            </w:r>
          </w:p>
        </w:tc>
        <w:tc>
          <w:tcPr>
            <w:tcW w:w="1065" w:type="pct"/>
          </w:tcPr>
          <w:p w14:paraId="57F74807"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8706.04</w:t>
            </w:r>
          </w:p>
        </w:tc>
        <w:tc>
          <w:tcPr>
            <w:tcW w:w="930" w:type="pct"/>
          </w:tcPr>
          <w:p w14:paraId="4493101B"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c>
          <w:tcPr>
            <w:tcW w:w="1314" w:type="pct"/>
          </w:tcPr>
          <w:p w14:paraId="58DDB44C"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w:t>
            </w:r>
          </w:p>
        </w:tc>
      </w:tr>
      <w:tr w:rsidR="004505DE" w:rsidRPr="00BF389E" w14:paraId="31143C69" w14:textId="77777777" w:rsidTr="00170A5B">
        <w:trPr>
          <w:trHeight w:val="142"/>
        </w:trPr>
        <w:tc>
          <w:tcPr>
            <w:tcW w:w="341" w:type="pct"/>
          </w:tcPr>
          <w:p w14:paraId="4EEA482D" w14:textId="77777777" w:rsidR="004505DE" w:rsidRPr="00BF389E" w:rsidRDefault="004505DE" w:rsidP="004505DE">
            <w:pPr>
              <w:widowControl w:val="0"/>
              <w:numPr>
                <w:ilvl w:val="0"/>
                <w:numId w:val="17"/>
              </w:numPr>
              <w:autoSpaceDE w:val="0"/>
              <w:autoSpaceDN w:val="0"/>
              <w:adjustRightInd w:val="0"/>
              <w:ind w:left="0" w:firstLine="0"/>
              <w:jc w:val="center"/>
              <w:rPr>
                <w:rFonts w:ascii="Calibri" w:hAnsi="Calibri" w:cs="Calibri"/>
                <w:sz w:val="22"/>
                <w:szCs w:val="22"/>
              </w:rPr>
            </w:pPr>
          </w:p>
        </w:tc>
        <w:tc>
          <w:tcPr>
            <w:tcW w:w="1350" w:type="pct"/>
          </w:tcPr>
          <w:p w14:paraId="0CDFD432" w14:textId="77777777" w:rsidR="004505DE" w:rsidRPr="00BF389E" w:rsidRDefault="004505DE" w:rsidP="004505DE">
            <w:pPr>
              <w:widowControl w:val="0"/>
              <w:autoSpaceDE w:val="0"/>
              <w:autoSpaceDN w:val="0"/>
              <w:adjustRightInd w:val="0"/>
              <w:rPr>
                <w:rFonts w:ascii="Calibri" w:hAnsi="Calibri" w:cs="Calibri"/>
                <w:sz w:val="22"/>
                <w:szCs w:val="22"/>
              </w:rPr>
            </w:pPr>
            <w:r w:rsidRPr="00BF389E">
              <w:rPr>
                <w:rFonts w:ascii="Calibri" w:hAnsi="Calibri" w:cs="Calibri"/>
                <w:sz w:val="22"/>
                <w:szCs w:val="22"/>
              </w:rPr>
              <w:t>SIA “</w:t>
            </w:r>
            <w:proofErr w:type="spellStart"/>
            <w:r w:rsidRPr="00BF389E">
              <w:rPr>
                <w:rFonts w:ascii="Calibri" w:hAnsi="Calibri" w:cs="Calibri"/>
                <w:sz w:val="22"/>
                <w:szCs w:val="22"/>
              </w:rPr>
              <w:t>Lattelecom</w:t>
            </w:r>
            <w:proofErr w:type="spellEnd"/>
            <w:r w:rsidRPr="00BF389E">
              <w:rPr>
                <w:rFonts w:ascii="Calibri" w:hAnsi="Calibri" w:cs="Calibri"/>
                <w:sz w:val="22"/>
                <w:szCs w:val="22"/>
              </w:rPr>
              <w:t>”</w:t>
            </w:r>
          </w:p>
        </w:tc>
        <w:tc>
          <w:tcPr>
            <w:tcW w:w="1065" w:type="pct"/>
          </w:tcPr>
          <w:p w14:paraId="01DC4095"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9744.00</w:t>
            </w:r>
          </w:p>
        </w:tc>
        <w:tc>
          <w:tcPr>
            <w:tcW w:w="930" w:type="pct"/>
          </w:tcPr>
          <w:p w14:paraId="79A6535D"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2129.30</w:t>
            </w:r>
          </w:p>
        </w:tc>
        <w:tc>
          <w:tcPr>
            <w:tcW w:w="1314" w:type="pct"/>
          </w:tcPr>
          <w:p w14:paraId="7CD922AD" w14:textId="77777777" w:rsidR="004505DE" w:rsidRPr="00BF389E" w:rsidRDefault="004505DE" w:rsidP="004505DE">
            <w:pPr>
              <w:widowControl w:val="0"/>
              <w:autoSpaceDE w:val="0"/>
              <w:autoSpaceDN w:val="0"/>
              <w:adjustRightInd w:val="0"/>
              <w:ind w:left="512"/>
              <w:jc w:val="both"/>
              <w:rPr>
                <w:rFonts w:ascii="Calibri" w:hAnsi="Calibri" w:cs="Calibri"/>
                <w:sz w:val="22"/>
                <w:szCs w:val="22"/>
              </w:rPr>
            </w:pPr>
            <w:r w:rsidRPr="00BF389E">
              <w:rPr>
                <w:rFonts w:ascii="Calibri" w:hAnsi="Calibri" w:cs="Calibri"/>
                <w:sz w:val="22"/>
                <w:szCs w:val="22"/>
              </w:rPr>
              <w:t>557.00</w:t>
            </w:r>
          </w:p>
        </w:tc>
      </w:tr>
    </w:tbl>
    <w:p w14:paraId="2A466CC7" w14:textId="5C9036E4" w:rsidR="00507B77" w:rsidRPr="00BF389E" w:rsidRDefault="00CC7CFE" w:rsidP="00C1216B">
      <w:pPr>
        <w:pStyle w:val="ListParagraph"/>
        <w:numPr>
          <w:ilvl w:val="0"/>
          <w:numId w:val="11"/>
        </w:numPr>
        <w:tabs>
          <w:tab w:val="left" w:pos="284"/>
          <w:tab w:val="left" w:pos="426"/>
          <w:tab w:val="left" w:pos="567"/>
        </w:tabs>
        <w:spacing w:line="276" w:lineRule="auto"/>
        <w:ind w:left="0" w:firstLine="0"/>
        <w:jc w:val="both"/>
        <w:rPr>
          <w:rFonts w:ascii="Calibri" w:hAnsi="Calibri" w:cs="Calibri"/>
          <w:sz w:val="22"/>
          <w:szCs w:val="22"/>
          <w:lang w:eastAsia="ar-SA"/>
        </w:rPr>
      </w:pPr>
      <w:r w:rsidRPr="00BF389E">
        <w:rPr>
          <w:rFonts w:ascii="Calibri" w:hAnsi="Calibri" w:cs="Calibri"/>
          <w:b/>
          <w:sz w:val="22"/>
          <w:szCs w:val="22"/>
          <w:u w:val="single"/>
        </w:rPr>
        <w:t xml:space="preserve">Noraidītie pretendenti un noraidīšanas iemesli: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691"/>
        <w:gridCol w:w="7620"/>
      </w:tblGrid>
      <w:tr w:rsidR="004505DE" w:rsidRPr="00BF389E" w14:paraId="685B7B38" w14:textId="77777777" w:rsidTr="00BF389E">
        <w:trPr>
          <w:trHeight w:val="20"/>
        </w:trPr>
        <w:tc>
          <w:tcPr>
            <w:tcW w:w="276" w:type="pct"/>
            <w:vAlign w:val="center"/>
          </w:tcPr>
          <w:p w14:paraId="27739F62" w14:textId="77777777" w:rsidR="004505DE" w:rsidRPr="00BF389E" w:rsidRDefault="004505DE" w:rsidP="004505DE">
            <w:pPr>
              <w:widowControl w:val="0"/>
              <w:autoSpaceDE w:val="0"/>
              <w:autoSpaceDN w:val="0"/>
              <w:adjustRightInd w:val="0"/>
              <w:jc w:val="center"/>
              <w:rPr>
                <w:rFonts w:asciiTheme="minorHAnsi" w:hAnsiTheme="minorHAnsi" w:cstheme="minorHAnsi"/>
                <w:b/>
                <w:sz w:val="22"/>
                <w:szCs w:val="22"/>
              </w:rPr>
            </w:pPr>
            <w:r w:rsidRPr="00BF389E">
              <w:rPr>
                <w:rFonts w:asciiTheme="minorHAnsi" w:hAnsiTheme="minorHAnsi" w:cstheme="minorHAnsi"/>
                <w:b/>
                <w:sz w:val="22"/>
                <w:szCs w:val="22"/>
              </w:rPr>
              <w:t>NR.</w:t>
            </w:r>
          </w:p>
        </w:tc>
        <w:tc>
          <w:tcPr>
            <w:tcW w:w="858" w:type="pct"/>
            <w:vAlign w:val="center"/>
          </w:tcPr>
          <w:p w14:paraId="19B629C0" w14:textId="77777777" w:rsidR="004505DE" w:rsidRPr="00BF389E" w:rsidRDefault="004505DE" w:rsidP="00BF389E">
            <w:pPr>
              <w:widowControl w:val="0"/>
              <w:autoSpaceDE w:val="0"/>
              <w:autoSpaceDN w:val="0"/>
              <w:adjustRightInd w:val="0"/>
              <w:jc w:val="center"/>
              <w:rPr>
                <w:rFonts w:asciiTheme="minorHAnsi" w:hAnsiTheme="minorHAnsi" w:cstheme="minorHAnsi"/>
                <w:b/>
                <w:sz w:val="22"/>
                <w:szCs w:val="22"/>
              </w:rPr>
            </w:pPr>
            <w:r w:rsidRPr="00BF389E">
              <w:rPr>
                <w:rFonts w:asciiTheme="minorHAnsi" w:hAnsiTheme="minorHAnsi" w:cstheme="minorHAnsi"/>
                <w:b/>
                <w:sz w:val="22"/>
                <w:szCs w:val="22"/>
              </w:rPr>
              <w:t>Pretendents</w:t>
            </w:r>
          </w:p>
        </w:tc>
        <w:tc>
          <w:tcPr>
            <w:tcW w:w="3866" w:type="pct"/>
            <w:vAlign w:val="center"/>
          </w:tcPr>
          <w:p w14:paraId="7C6C7899" w14:textId="77777777" w:rsidR="004505DE" w:rsidRPr="00BF389E" w:rsidRDefault="004505DE" w:rsidP="004505DE">
            <w:pPr>
              <w:widowControl w:val="0"/>
              <w:autoSpaceDE w:val="0"/>
              <w:autoSpaceDN w:val="0"/>
              <w:adjustRightInd w:val="0"/>
              <w:ind w:left="512"/>
              <w:jc w:val="center"/>
              <w:rPr>
                <w:rFonts w:asciiTheme="minorHAnsi" w:hAnsiTheme="minorHAnsi" w:cstheme="minorHAnsi"/>
                <w:b/>
                <w:sz w:val="22"/>
                <w:szCs w:val="22"/>
              </w:rPr>
            </w:pPr>
            <w:r w:rsidRPr="00BF389E">
              <w:rPr>
                <w:rFonts w:asciiTheme="minorHAnsi" w:hAnsiTheme="minorHAnsi" w:cstheme="minorHAnsi"/>
                <w:b/>
                <w:sz w:val="22"/>
                <w:szCs w:val="22"/>
              </w:rPr>
              <w:t>Iepirkuma 1.daļa-</w:t>
            </w:r>
            <w:r w:rsidRPr="00BF389E">
              <w:rPr>
                <w:rFonts w:asciiTheme="minorHAnsi" w:hAnsiTheme="minorHAnsi" w:cstheme="minorHAnsi"/>
                <w:sz w:val="22"/>
                <w:szCs w:val="22"/>
              </w:rPr>
              <w:t xml:space="preserve"> </w:t>
            </w:r>
            <w:r w:rsidRPr="00BF389E">
              <w:rPr>
                <w:rFonts w:asciiTheme="minorHAnsi" w:hAnsiTheme="minorHAnsi" w:cstheme="minorHAnsi"/>
                <w:b/>
                <w:sz w:val="22"/>
                <w:szCs w:val="22"/>
              </w:rPr>
              <w:t>Datori un programmatūra</w:t>
            </w:r>
          </w:p>
        </w:tc>
      </w:tr>
      <w:tr w:rsidR="004505DE" w:rsidRPr="00BF389E" w14:paraId="5BC54FEA" w14:textId="77777777" w:rsidTr="00BF389E">
        <w:trPr>
          <w:trHeight w:val="20"/>
        </w:trPr>
        <w:tc>
          <w:tcPr>
            <w:tcW w:w="276" w:type="pct"/>
          </w:tcPr>
          <w:p w14:paraId="7B82682B" w14:textId="64F79857" w:rsidR="004505DE" w:rsidRPr="00BF389E" w:rsidRDefault="00BC09B2" w:rsidP="004505DE">
            <w:pPr>
              <w:widowControl w:val="0"/>
              <w:autoSpaceDE w:val="0"/>
              <w:autoSpaceDN w:val="0"/>
              <w:adjustRightInd w:val="0"/>
              <w:jc w:val="center"/>
              <w:rPr>
                <w:rFonts w:asciiTheme="minorHAnsi" w:hAnsiTheme="minorHAnsi" w:cstheme="minorHAnsi"/>
                <w:b/>
                <w:sz w:val="22"/>
                <w:szCs w:val="22"/>
              </w:rPr>
            </w:pPr>
            <w:r w:rsidRPr="00BF389E">
              <w:rPr>
                <w:rFonts w:asciiTheme="minorHAnsi" w:hAnsiTheme="minorHAnsi" w:cstheme="minorHAnsi"/>
                <w:b/>
                <w:sz w:val="22"/>
                <w:szCs w:val="22"/>
              </w:rPr>
              <w:t>1.</w:t>
            </w:r>
          </w:p>
        </w:tc>
        <w:tc>
          <w:tcPr>
            <w:tcW w:w="858" w:type="pct"/>
          </w:tcPr>
          <w:p w14:paraId="54E34104" w14:textId="4C337699" w:rsidR="004505DE" w:rsidRPr="00BF389E" w:rsidRDefault="004505DE" w:rsidP="00BF389E">
            <w:pPr>
              <w:widowControl w:val="0"/>
              <w:autoSpaceDE w:val="0"/>
              <w:autoSpaceDN w:val="0"/>
              <w:adjustRightInd w:val="0"/>
              <w:jc w:val="center"/>
              <w:rPr>
                <w:rFonts w:asciiTheme="minorHAnsi" w:hAnsiTheme="minorHAnsi" w:cstheme="minorHAnsi"/>
                <w:b/>
                <w:sz w:val="22"/>
                <w:szCs w:val="22"/>
              </w:rPr>
            </w:pPr>
            <w:r w:rsidRPr="00BF389E">
              <w:rPr>
                <w:rFonts w:asciiTheme="minorHAnsi" w:hAnsiTheme="minorHAnsi" w:cstheme="minorHAnsi"/>
                <w:sz w:val="22"/>
                <w:szCs w:val="22"/>
              </w:rPr>
              <w:t xml:space="preserve">  </w:t>
            </w:r>
            <w:proofErr w:type="spellStart"/>
            <w:r w:rsidRPr="00BF389E">
              <w:rPr>
                <w:rFonts w:asciiTheme="minorHAnsi" w:hAnsiTheme="minorHAnsi" w:cstheme="minorHAnsi"/>
                <w:sz w:val="22"/>
                <w:szCs w:val="22"/>
              </w:rPr>
              <w:t>SIA”Atea</w:t>
            </w:r>
            <w:proofErr w:type="spellEnd"/>
            <w:r w:rsidRPr="00BF389E">
              <w:rPr>
                <w:rFonts w:asciiTheme="minorHAnsi" w:hAnsiTheme="minorHAnsi" w:cstheme="minorHAnsi"/>
                <w:sz w:val="22"/>
                <w:szCs w:val="22"/>
              </w:rPr>
              <w:t>”</w:t>
            </w:r>
          </w:p>
        </w:tc>
        <w:tc>
          <w:tcPr>
            <w:tcW w:w="3866" w:type="pct"/>
          </w:tcPr>
          <w:p w14:paraId="6D59B60E" w14:textId="0D58F27E" w:rsidR="004505DE" w:rsidRPr="00BF389E" w:rsidRDefault="004505DE" w:rsidP="00170A5B">
            <w:pPr>
              <w:shd w:val="clear" w:color="auto" w:fill="FFFFFF"/>
              <w:ind w:left="10"/>
              <w:rPr>
                <w:rFonts w:asciiTheme="minorHAnsi" w:hAnsiTheme="minorHAnsi" w:cstheme="minorHAnsi"/>
                <w:spacing w:val="-1"/>
                <w:sz w:val="22"/>
                <w:szCs w:val="22"/>
              </w:rPr>
            </w:pPr>
            <w:r w:rsidRPr="00BF389E">
              <w:rPr>
                <w:rFonts w:asciiTheme="minorHAnsi" w:hAnsiTheme="minorHAnsi" w:cstheme="minorHAnsi"/>
                <w:spacing w:val="-1"/>
                <w:sz w:val="22"/>
                <w:szCs w:val="22"/>
              </w:rPr>
              <w:t>Komisija konstatēja, ka piedāvājums nav atbilstošs pasūtītāja tehnisko specifikāciju prasībām un noraidīja  to tehnisko piedā</w:t>
            </w:r>
            <w:r w:rsidR="00BC09B2" w:rsidRPr="00BF389E">
              <w:rPr>
                <w:rFonts w:asciiTheme="minorHAnsi" w:hAnsiTheme="minorHAnsi" w:cstheme="minorHAnsi"/>
                <w:spacing w:val="-1"/>
                <w:sz w:val="22"/>
                <w:szCs w:val="22"/>
              </w:rPr>
              <w:t>vājumu vērtēšanas posmā</w:t>
            </w:r>
            <w:r w:rsidRPr="00BF389E">
              <w:rPr>
                <w:rFonts w:asciiTheme="minorHAnsi" w:hAnsiTheme="minorHAnsi" w:cstheme="minorHAnsi"/>
                <w:spacing w:val="-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666"/>
              <w:gridCol w:w="4262"/>
            </w:tblGrid>
            <w:tr w:rsidR="004505DE" w:rsidRPr="00BF389E" w14:paraId="1DD82BEE" w14:textId="77777777" w:rsidTr="00BF389E">
              <w:trPr>
                <w:trHeight w:val="20"/>
              </w:trPr>
              <w:tc>
                <w:tcPr>
                  <w:tcW w:w="315" w:type="pct"/>
                  <w:shd w:val="clear" w:color="auto" w:fill="F2F2F2"/>
                  <w:vAlign w:val="center"/>
                  <w:hideMark/>
                </w:tcPr>
                <w:p w14:paraId="25AA2C33" w14:textId="77777777" w:rsidR="004505DE" w:rsidRPr="00BF389E" w:rsidRDefault="004505DE" w:rsidP="00170A5B">
                  <w:pPr>
                    <w:jc w:val="center"/>
                    <w:rPr>
                      <w:rFonts w:asciiTheme="minorHAnsi" w:hAnsiTheme="minorHAnsi" w:cstheme="minorHAnsi"/>
                      <w:b/>
                      <w:bCs/>
                      <w:sz w:val="22"/>
                      <w:szCs w:val="22"/>
                      <w:lang w:eastAsia="en-US"/>
                    </w:rPr>
                  </w:pPr>
                  <w:r w:rsidRPr="00BF389E">
                    <w:rPr>
                      <w:rFonts w:asciiTheme="minorHAnsi" w:hAnsiTheme="minorHAnsi" w:cstheme="minorHAnsi"/>
                      <w:b/>
                      <w:bCs/>
                      <w:sz w:val="22"/>
                      <w:szCs w:val="22"/>
                      <w:lang w:eastAsia="en-US"/>
                    </w:rPr>
                    <w:t>NR</w:t>
                  </w:r>
                </w:p>
              </w:tc>
              <w:tc>
                <w:tcPr>
                  <w:tcW w:w="1803" w:type="pct"/>
                  <w:shd w:val="clear" w:color="auto" w:fill="F2F2F2"/>
                  <w:vAlign w:val="center"/>
                  <w:hideMark/>
                </w:tcPr>
                <w:p w14:paraId="0C6E76C6" w14:textId="77777777" w:rsidR="004505DE" w:rsidRPr="00BF389E" w:rsidRDefault="004505DE" w:rsidP="00170A5B">
                  <w:pPr>
                    <w:jc w:val="center"/>
                    <w:rPr>
                      <w:rFonts w:asciiTheme="minorHAnsi" w:hAnsiTheme="minorHAnsi" w:cstheme="minorHAnsi"/>
                      <w:b/>
                      <w:bCs/>
                      <w:sz w:val="22"/>
                      <w:szCs w:val="22"/>
                      <w:lang w:val="en-US" w:eastAsia="en-US"/>
                    </w:rPr>
                  </w:pPr>
                  <w:proofErr w:type="spellStart"/>
                  <w:r w:rsidRPr="00BF389E">
                    <w:rPr>
                      <w:rFonts w:asciiTheme="minorHAnsi" w:hAnsiTheme="minorHAnsi" w:cstheme="minorHAnsi"/>
                      <w:b/>
                      <w:bCs/>
                      <w:sz w:val="22"/>
                      <w:szCs w:val="22"/>
                      <w:lang w:val="en-US" w:eastAsia="en-US"/>
                    </w:rPr>
                    <w:t>Veicamās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funkcijas</w:t>
                  </w:r>
                  <w:proofErr w:type="spellEnd"/>
                  <w:r w:rsidRPr="00BF389E">
                    <w:rPr>
                      <w:rFonts w:asciiTheme="minorHAnsi" w:hAnsiTheme="minorHAnsi" w:cstheme="minorHAnsi"/>
                      <w:b/>
                      <w:bCs/>
                      <w:sz w:val="22"/>
                      <w:szCs w:val="22"/>
                      <w:lang w:val="en-US" w:eastAsia="en-US"/>
                    </w:rPr>
                    <w:t xml:space="preserve"> un </w:t>
                  </w:r>
                  <w:proofErr w:type="spellStart"/>
                  <w:r w:rsidRPr="00BF389E">
                    <w:rPr>
                      <w:rFonts w:asciiTheme="minorHAnsi" w:hAnsiTheme="minorHAnsi" w:cstheme="minorHAnsi"/>
                      <w:b/>
                      <w:bCs/>
                      <w:sz w:val="22"/>
                      <w:szCs w:val="22"/>
                      <w:lang w:val="en-US" w:eastAsia="en-US"/>
                    </w:rPr>
                    <w:t>tehniskās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prasības</w:t>
                  </w:r>
                  <w:proofErr w:type="spellEnd"/>
                </w:p>
              </w:tc>
              <w:tc>
                <w:tcPr>
                  <w:tcW w:w="2882" w:type="pct"/>
                  <w:shd w:val="clear" w:color="auto" w:fill="F2F2F2"/>
                  <w:vAlign w:val="center"/>
                  <w:hideMark/>
                </w:tcPr>
                <w:p w14:paraId="04CF4008" w14:textId="77777777" w:rsidR="004505DE" w:rsidRPr="00BF389E" w:rsidRDefault="004505DE" w:rsidP="00170A5B">
                  <w:pPr>
                    <w:jc w:val="center"/>
                    <w:rPr>
                      <w:rFonts w:asciiTheme="minorHAnsi" w:hAnsiTheme="minorHAnsi" w:cstheme="minorHAnsi"/>
                      <w:b/>
                      <w:bCs/>
                      <w:sz w:val="22"/>
                      <w:szCs w:val="22"/>
                      <w:lang w:val="en-US" w:eastAsia="en-US"/>
                    </w:rPr>
                  </w:pPr>
                  <w:proofErr w:type="spellStart"/>
                  <w:r w:rsidRPr="00BF389E">
                    <w:rPr>
                      <w:rFonts w:asciiTheme="minorHAnsi" w:hAnsiTheme="minorHAnsi" w:cstheme="minorHAnsi"/>
                      <w:b/>
                      <w:bCs/>
                      <w:sz w:val="22"/>
                      <w:szCs w:val="22"/>
                      <w:lang w:val="en-US" w:eastAsia="en-US"/>
                    </w:rPr>
                    <w:t>Pretendenta</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tehniskais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piedāvājums</w:t>
                  </w:r>
                  <w:proofErr w:type="spellEnd"/>
                  <w:r w:rsidRPr="00BF389E">
                    <w:rPr>
                      <w:rFonts w:asciiTheme="minorHAnsi" w:hAnsiTheme="minorHAnsi" w:cstheme="minorHAnsi"/>
                      <w:b/>
                      <w:bCs/>
                      <w:sz w:val="22"/>
                      <w:szCs w:val="22"/>
                      <w:lang w:val="en-US" w:eastAsia="en-US"/>
                    </w:rPr>
                    <w:t xml:space="preserve"> </w:t>
                  </w:r>
                </w:p>
              </w:tc>
            </w:tr>
            <w:tr w:rsidR="004505DE" w:rsidRPr="00BF389E" w14:paraId="520AD31E" w14:textId="77777777" w:rsidTr="00BF389E">
              <w:trPr>
                <w:trHeight w:val="20"/>
              </w:trPr>
              <w:tc>
                <w:tcPr>
                  <w:tcW w:w="315" w:type="pct"/>
                  <w:shd w:val="clear" w:color="auto" w:fill="FFFFFF"/>
                  <w:vAlign w:val="center"/>
                  <w:hideMark/>
                </w:tcPr>
                <w:p w14:paraId="091A05B5" w14:textId="77777777" w:rsidR="004505DE" w:rsidRPr="00BF389E" w:rsidRDefault="004505DE" w:rsidP="00170A5B">
                  <w:pPr>
                    <w:jc w:val="center"/>
                    <w:rPr>
                      <w:rFonts w:asciiTheme="minorHAnsi" w:hAnsiTheme="minorHAnsi" w:cstheme="minorHAnsi"/>
                      <w:sz w:val="22"/>
                      <w:szCs w:val="22"/>
                    </w:rPr>
                  </w:pPr>
                  <w:r w:rsidRPr="00BF389E">
                    <w:rPr>
                      <w:rFonts w:asciiTheme="minorHAnsi" w:hAnsiTheme="minorHAnsi" w:cstheme="minorHAnsi"/>
                      <w:sz w:val="22"/>
                      <w:szCs w:val="22"/>
                    </w:rPr>
                    <w:t>2,12</w:t>
                  </w:r>
                </w:p>
              </w:tc>
              <w:tc>
                <w:tcPr>
                  <w:tcW w:w="1803" w:type="pct"/>
                  <w:shd w:val="clear" w:color="auto" w:fill="FFFFFF"/>
                  <w:vAlign w:val="center"/>
                  <w:hideMark/>
                </w:tcPr>
                <w:p w14:paraId="4659A5BA" w14:textId="77777777" w:rsidR="004505DE" w:rsidRPr="00BF389E" w:rsidRDefault="004505DE" w:rsidP="00170A5B">
                  <w:pPr>
                    <w:jc w:val="center"/>
                    <w:rPr>
                      <w:rFonts w:asciiTheme="minorHAnsi" w:hAnsiTheme="minorHAnsi" w:cstheme="minorHAnsi"/>
                      <w:sz w:val="22"/>
                      <w:szCs w:val="22"/>
                    </w:rPr>
                  </w:pPr>
                  <w:r w:rsidRPr="00BF389E">
                    <w:rPr>
                      <w:rFonts w:asciiTheme="minorHAnsi" w:hAnsiTheme="minorHAnsi" w:cstheme="minorHAnsi"/>
                      <w:sz w:val="22"/>
                      <w:szCs w:val="22"/>
                    </w:rPr>
                    <w:t>Pele, klaviatūra ENG, RU, ar atsevišķu ciparu bloku, savienošanās ar datoru vismaz ar vadu pie USB</w:t>
                  </w:r>
                </w:p>
              </w:tc>
              <w:tc>
                <w:tcPr>
                  <w:tcW w:w="2882" w:type="pct"/>
                  <w:shd w:val="clear" w:color="auto" w:fill="FFFFFF"/>
                  <w:vAlign w:val="center"/>
                  <w:hideMark/>
                </w:tcPr>
                <w:p w14:paraId="7837BA84" w14:textId="099C2916" w:rsidR="004505DE" w:rsidRPr="00BF389E" w:rsidRDefault="004505DE" w:rsidP="00170A5B">
                  <w:pPr>
                    <w:jc w:val="center"/>
                    <w:rPr>
                      <w:rFonts w:asciiTheme="minorHAnsi" w:hAnsiTheme="minorHAnsi" w:cstheme="minorHAnsi"/>
                      <w:sz w:val="22"/>
                      <w:szCs w:val="22"/>
                    </w:rPr>
                  </w:pPr>
                  <w:proofErr w:type="spellStart"/>
                  <w:r w:rsidRPr="00BF389E">
                    <w:rPr>
                      <w:rFonts w:asciiTheme="minorHAnsi" w:hAnsiTheme="minorHAnsi" w:cstheme="minorHAnsi"/>
                      <w:sz w:val="22"/>
                      <w:szCs w:val="22"/>
                    </w:rPr>
                    <w:t>Logitech</w:t>
                  </w:r>
                  <w:proofErr w:type="spellEnd"/>
                  <w:r w:rsidRPr="00BF389E">
                    <w:rPr>
                      <w:rFonts w:asciiTheme="minorHAnsi" w:hAnsiTheme="minorHAnsi" w:cstheme="minorHAnsi"/>
                      <w:sz w:val="22"/>
                      <w:szCs w:val="22"/>
                    </w:rPr>
                    <w:t xml:space="preserve"> </w:t>
                  </w:r>
                  <w:proofErr w:type="spellStart"/>
                  <w:r w:rsidRPr="00BF389E">
                    <w:rPr>
                      <w:rFonts w:asciiTheme="minorHAnsi" w:hAnsiTheme="minorHAnsi" w:cstheme="minorHAnsi"/>
                      <w:sz w:val="22"/>
                      <w:szCs w:val="22"/>
                    </w:rPr>
                    <w:t>Classic</w:t>
                  </w:r>
                  <w:proofErr w:type="spellEnd"/>
                  <w:r w:rsidRPr="00BF389E">
                    <w:rPr>
                      <w:rFonts w:asciiTheme="minorHAnsi" w:hAnsiTheme="minorHAnsi" w:cstheme="minorHAnsi"/>
                      <w:sz w:val="22"/>
                      <w:szCs w:val="22"/>
                    </w:rPr>
                    <w:t xml:space="preserve"> K100 </w:t>
                  </w:r>
                  <w:r w:rsidRPr="00BF389E">
                    <w:rPr>
                      <w:rFonts w:asciiTheme="minorHAnsi" w:hAnsiTheme="minorHAnsi" w:cstheme="minorHAnsi"/>
                      <w:sz w:val="22"/>
                      <w:szCs w:val="22"/>
                      <w:highlight w:val="yellow"/>
                    </w:rPr>
                    <w:t>PS/2</w:t>
                  </w:r>
                  <w:r w:rsidRPr="00BF389E">
                    <w:rPr>
                      <w:rFonts w:asciiTheme="minorHAnsi" w:hAnsiTheme="minorHAnsi" w:cstheme="minorHAnsi"/>
                      <w:sz w:val="22"/>
                      <w:szCs w:val="22"/>
                    </w:rPr>
                    <w:t xml:space="preserve"> ENG/RU; Modelis:920-003200 Pārbaudot pretendenta norādīto ražotāja informāciju, ražotāja mājas lapā, tiek konstatēts, ka savietojamība ar datoru tiek nodrošināta nevis ar  USB, bet ar PS/2, kas </w:t>
                  </w:r>
                  <w:r w:rsidRPr="00BF389E">
                    <w:rPr>
                      <w:rFonts w:asciiTheme="minorHAnsi" w:hAnsiTheme="minorHAnsi" w:cstheme="minorHAnsi"/>
                      <w:b/>
                      <w:color w:val="FF0000"/>
                      <w:sz w:val="22"/>
                      <w:szCs w:val="22"/>
                    </w:rPr>
                    <w:t>nav atbilstoši</w:t>
                  </w:r>
                  <w:r w:rsidRPr="00BF389E">
                    <w:rPr>
                      <w:rFonts w:asciiTheme="minorHAnsi" w:hAnsiTheme="minorHAnsi" w:cstheme="minorHAnsi"/>
                      <w:sz w:val="22"/>
                      <w:szCs w:val="22"/>
                    </w:rPr>
                    <w:t xml:space="preserve"> pasūtītāja tehnisko specifikāciju prasībām.</w:t>
                  </w:r>
                </w:p>
                <w:p w14:paraId="0CFB5404" w14:textId="77777777" w:rsidR="004505DE" w:rsidRPr="00BF389E" w:rsidRDefault="004505DE" w:rsidP="00170A5B">
                  <w:pPr>
                    <w:jc w:val="center"/>
                    <w:rPr>
                      <w:rFonts w:asciiTheme="minorHAnsi" w:hAnsiTheme="minorHAnsi" w:cstheme="minorHAnsi"/>
                      <w:sz w:val="22"/>
                      <w:szCs w:val="22"/>
                    </w:rPr>
                  </w:pPr>
                </w:p>
                <w:p w14:paraId="20D2CCE3" w14:textId="77777777" w:rsidR="004505DE" w:rsidRPr="00BF389E" w:rsidRDefault="004505DE" w:rsidP="00170A5B">
                  <w:pPr>
                    <w:jc w:val="center"/>
                    <w:rPr>
                      <w:rFonts w:asciiTheme="minorHAnsi" w:hAnsiTheme="minorHAnsi" w:cstheme="minorHAnsi"/>
                      <w:sz w:val="22"/>
                      <w:szCs w:val="22"/>
                    </w:rPr>
                  </w:pPr>
                </w:p>
              </w:tc>
            </w:tr>
          </w:tbl>
          <w:p w14:paraId="2D4218FC" w14:textId="5796554C" w:rsidR="004505DE" w:rsidRPr="00BF389E" w:rsidRDefault="004505DE" w:rsidP="004505DE">
            <w:pPr>
              <w:widowControl w:val="0"/>
              <w:autoSpaceDE w:val="0"/>
              <w:autoSpaceDN w:val="0"/>
              <w:adjustRightInd w:val="0"/>
              <w:ind w:left="512"/>
              <w:jc w:val="center"/>
              <w:rPr>
                <w:rFonts w:asciiTheme="minorHAnsi" w:hAnsiTheme="minorHAnsi" w:cstheme="minorHAnsi"/>
                <w:b/>
                <w:sz w:val="22"/>
                <w:szCs w:val="22"/>
              </w:rPr>
            </w:pPr>
          </w:p>
        </w:tc>
      </w:tr>
      <w:tr w:rsidR="004505DE" w:rsidRPr="00BF389E" w14:paraId="0CE2B9EA" w14:textId="77777777" w:rsidTr="00BF389E">
        <w:trPr>
          <w:trHeight w:val="20"/>
        </w:trPr>
        <w:tc>
          <w:tcPr>
            <w:tcW w:w="276" w:type="pct"/>
            <w:vAlign w:val="center"/>
          </w:tcPr>
          <w:p w14:paraId="4534B748" w14:textId="77777777" w:rsidR="004505DE" w:rsidRPr="00BF389E" w:rsidRDefault="004505DE" w:rsidP="004505DE">
            <w:pPr>
              <w:widowControl w:val="0"/>
              <w:autoSpaceDE w:val="0"/>
              <w:autoSpaceDN w:val="0"/>
              <w:adjustRightInd w:val="0"/>
              <w:jc w:val="center"/>
              <w:rPr>
                <w:rFonts w:asciiTheme="minorHAnsi" w:hAnsiTheme="minorHAnsi" w:cstheme="minorHAnsi"/>
                <w:b/>
                <w:sz w:val="22"/>
                <w:szCs w:val="22"/>
              </w:rPr>
            </w:pPr>
          </w:p>
        </w:tc>
        <w:tc>
          <w:tcPr>
            <w:tcW w:w="858" w:type="pct"/>
            <w:vAlign w:val="center"/>
          </w:tcPr>
          <w:p w14:paraId="126812C9" w14:textId="77777777" w:rsidR="004505DE" w:rsidRPr="00BF389E" w:rsidRDefault="004505DE" w:rsidP="00BF389E">
            <w:pPr>
              <w:widowControl w:val="0"/>
              <w:autoSpaceDE w:val="0"/>
              <w:autoSpaceDN w:val="0"/>
              <w:adjustRightInd w:val="0"/>
              <w:jc w:val="center"/>
              <w:rPr>
                <w:rFonts w:asciiTheme="minorHAnsi" w:hAnsiTheme="minorHAnsi" w:cstheme="minorHAnsi"/>
                <w:b/>
                <w:sz w:val="22"/>
                <w:szCs w:val="22"/>
              </w:rPr>
            </w:pPr>
          </w:p>
        </w:tc>
        <w:tc>
          <w:tcPr>
            <w:tcW w:w="3866" w:type="pct"/>
            <w:vAlign w:val="center"/>
          </w:tcPr>
          <w:p w14:paraId="3DA56364" w14:textId="490C93AC" w:rsidR="004505DE" w:rsidRPr="00BF389E" w:rsidRDefault="004505DE" w:rsidP="004505DE">
            <w:pPr>
              <w:widowControl w:val="0"/>
              <w:autoSpaceDE w:val="0"/>
              <w:autoSpaceDN w:val="0"/>
              <w:adjustRightInd w:val="0"/>
              <w:ind w:left="512"/>
              <w:jc w:val="center"/>
              <w:rPr>
                <w:rFonts w:asciiTheme="minorHAnsi" w:hAnsiTheme="minorHAnsi" w:cstheme="minorHAnsi"/>
                <w:b/>
                <w:sz w:val="22"/>
                <w:szCs w:val="22"/>
              </w:rPr>
            </w:pPr>
            <w:r w:rsidRPr="00BF389E">
              <w:rPr>
                <w:rFonts w:asciiTheme="minorHAnsi" w:hAnsiTheme="minorHAnsi" w:cstheme="minorHAnsi"/>
                <w:b/>
                <w:sz w:val="22"/>
                <w:szCs w:val="22"/>
              </w:rPr>
              <w:t>Iepirkuma 2. daļa -</w:t>
            </w:r>
            <w:r w:rsidRPr="00BF389E">
              <w:rPr>
                <w:rFonts w:asciiTheme="minorHAnsi" w:hAnsiTheme="minorHAnsi" w:cstheme="minorHAnsi"/>
                <w:sz w:val="22"/>
                <w:szCs w:val="22"/>
              </w:rPr>
              <w:t xml:space="preserve"> </w:t>
            </w:r>
            <w:r w:rsidRPr="00BF389E">
              <w:rPr>
                <w:rFonts w:asciiTheme="minorHAnsi" w:hAnsiTheme="minorHAnsi" w:cstheme="minorHAnsi"/>
                <w:b/>
                <w:sz w:val="22"/>
                <w:szCs w:val="22"/>
              </w:rPr>
              <w:t>Monitori, printeri un UPS</w:t>
            </w:r>
          </w:p>
        </w:tc>
      </w:tr>
      <w:tr w:rsidR="004505DE" w:rsidRPr="00BF389E" w14:paraId="6B816C23" w14:textId="77777777" w:rsidTr="00BF389E">
        <w:trPr>
          <w:trHeight w:val="20"/>
        </w:trPr>
        <w:tc>
          <w:tcPr>
            <w:tcW w:w="276" w:type="pct"/>
            <w:vAlign w:val="center"/>
          </w:tcPr>
          <w:p w14:paraId="33CC6F96" w14:textId="77777777" w:rsidR="004505DE" w:rsidRPr="00BF389E" w:rsidRDefault="004505DE" w:rsidP="004505DE">
            <w:pPr>
              <w:widowControl w:val="0"/>
              <w:autoSpaceDE w:val="0"/>
              <w:autoSpaceDN w:val="0"/>
              <w:adjustRightInd w:val="0"/>
              <w:jc w:val="center"/>
              <w:rPr>
                <w:rFonts w:asciiTheme="minorHAnsi" w:hAnsiTheme="minorHAnsi" w:cstheme="minorHAnsi"/>
                <w:b/>
                <w:sz w:val="22"/>
                <w:szCs w:val="22"/>
              </w:rPr>
            </w:pPr>
          </w:p>
        </w:tc>
        <w:tc>
          <w:tcPr>
            <w:tcW w:w="858" w:type="pct"/>
            <w:vAlign w:val="center"/>
          </w:tcPr>
          <w:p w14:paraId="44E1A17D" w14:textId="734B2734" w:rsidR="004505DE" w:rsidRPr="00BF389E" w:rsidRDefault="00BC09B2" w:rsidP="00BF389E">
            <w:pPr>
              <w:widowControl w:val="0"/>
              <w:autoSpaceDE w:val="0"/>
              <w:autoSpaceDN w:val="0"/>
              <w:adjustRightInd w:val="0"/>
              <w:jc w:val="center"/>
              <w:rPr>
                <w:rFonts w:asciiTheme="minorHAnsi" w:hAnsiTheme="minorHAnsi" w:cstheme="minorHAnsi"/>
                <w:b/>
                <w:sz w:val="22"/>
                <w:szCs w:val="22"/>
              </w:rPr>
            </w:pPr>
            <w:r w:rsidRPr="00BF389E">
              <w:rPr>
                <w:rFonts w:asciiTheme="minorHAnsi" w:hAnsiTheme="minorHAnsi" w:cstheme="minorHAnsi"/>
                <w:b/>
                <w:sz w:val="22"/>
                <w:szCs w:val="22"/>
              </w:rPr>
              <w:t>SIA “LDC Datortehnika”</w:t>
            </w:r>
          </w:p>
        </w:tc>
        <w:tc>
          <w:tcPr>
            <w:tcW w:w="3866" w:type="pct"/>
            <w:vAlign w:val="center"/>
          </w:tcPr>
          <w:p w14:paraId="62A5D957" w14:textId="77777777" w:rsidR="004505DE" w:rsidRPr="00BF389E" w:rsidRDefault="00BC09B2" w:rsidP="004505DE">
            <w:pPr>
              <w:widowControl w:val="0"/>
              <w:autoSpaceDE w:val="0"/>
              <w:autoSpaceDN w:val="0"/>
              <w:adjustRightInd w:val="0"/>
              <w:ind w:left="512"/>
              <w:jc w:val="center"/>
              <w:rPr>
                <w:rFonts w:asciiTheme="minorHAnsi" w:hAnsiTheme="minorHAnsi" w:cstheme="minorHAnsi"/>
                <w:b/>
                <w:sz w:val="22"/>
                <w:szCs w:val="22"/>
              </w:rPr>
            </w:pPr>
            <w:r w:rsidRPr="00BF389E">
              <w:rPr>
                <w:rFonts w:asciiTheme="minorHAnsi" w:hAnsiTheme="minorHAnsi" w:cstheme="minorHAnsi"/>
                <w:b/>
                <w:sz w:val="22"/>
                <w:szCs w:val="22"/>
              </w:rPr>
              <w:t>Komisija konstatēja, ka piedāvājums nav atbilstošs pasūtītāja tehnisko specifikāciju prasībām un noraidīja  to tehnisko piedāvājumu vērtēšanas posmā.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755"/>
              <w:gridCol w:w="4308"/>
            </w:tblGrid>
            <w:tr w:rsidR="00BC09B2" w:rsidRPr="00BF389E" w14:paraId="321A1F1F" w14:textId="77777777" w:rsidTr="00BF389E">
              <w:trPr>
                <w:trHeight w:val="20"/>
              </w:trPr>
              <w:tc>
                <w:tcPr>
                  <w:tcW w:w="900" w:type="pct"/>
                  <w:shd w:val="clear" w:color="auto" w:fill="F2F2F2"/>
                  <w:vAlign w:val="center"/>
                  <w:hideMark/>
                </w:tcPr>
                <w:p w14:paraId="1AE7D9C2" w14:textId="77777777" w:rsidR="00BC09B2" w:rsidRPr="00BF389E" w:rsidRDefault="00BC09B2" w:rsidP="00170A5B">
                  <w:pPr>
                    <w:jc w:val="center"/>
                    <w:rPr>
                      <w:rFonts w:asciiTheme="minorHAnsi" w:hAnsiTheme="minorHAnsi" w:cstheme="minorHAnsi"/>
                      <w:b/>
                      <w:bCs/>
                      <w:color w:val="000000"/>
                      <w:sz w:val="22"/>
                      <w:szCs w:val="22"/>
                      <w:lang w:val="en-US" w:eastAsia="en-US"/>
                    </w:rPr>
                  </w:pPr>
                  <w:r w:rsidRPr="00BF389E">
                    <w:rPr>
                      <w:rFonts w:asciiTheme="minorHAnsi" w:hAnsiTheme="minorHAnsi" w:cstheme="minorHAnsi"/>
                      <w:b/>
                      <w:bCs/>
                      <w:sz w:val="22"/>
                      <w:szCs w:val="22"/>
                      <w:lang w:val="en-US" w:eastAsia="en-US"/>
                    </w:rPr>
                    <w:t>NR</w:t>
                  </w:r>
                </w:p>
              </w:tc>
              <w:tc>
                <w:tcPr>
                  <w:tcW w:w="1187" w:type="pct"/>
                  <w:shd w:val="clear" w:color="auto" w:fill="F2F2F2"/>
                  <w:vAlign w:val="center"/>
                  <w:hideMark/>
                </w:tcPr>
                <w:p w14:paraId="4B999662" w14:textId="77777777" w:rsidR="00BC09B2" w:rsidRPr="00BF389E" w:rsidRDefault="00BC09B2" w:rsidP="00170A5B">
                  <w:pPr>
                    <w:jc w:val="center"/>
                    <w:rPr>
                      <w:rFonts w:asciiTheme="minorHAnsi" w:hAnsiTheme="minorHAnsi" w:cstheme="minorHAnsi"/>
                      <w:b/>
                      <w:bCs/>
                      <w:color w:val="000000"/>
                      <w:sz w:val="22"/>
                      <w:szCs w:val="22"/>
                      <w:lang w:val="en-US" w:eastAsia="en-US"/>
                    </w:rPr>
                  </w:pPr>
                  <w:proofErr w:type="spellStart"/>
                  <w:r w:rsidRPr="00BF389E">
                    <w:rPr>
                      <w:rFonts w:asciiTheme="minorHAnsi" w:hAnsiTheme="minorHAnsi" w:cstheme="minorHAnsi"/>
                      <w:b/>
                      <w:bCs/>
                      <w:sz w:val="22"/>
                      <w:szCs w:val="22"/>
                      <w:lang w:val="en-US" w:eastAsia="en-US"/>
                    </w:rPr>
                    <w:t>Veicamās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funkcijas</w:t>
                  </w:r>
                  <w:proofErr w:type="spellEnd"/>
                  <w:r w:rsidRPr="00BF389E">
                    <w:rPr>
                      <w:rFonts w:asciiTheme="minorHAnsi" w:hAnsiTheme="minorHAnsi" w:cstheme="minorHAnsi"/>
                      <w:b/>
                      <w:bCs/>
                      <w:sz w:val="22"/>
                      <w:szCs w:val="22"/>
                      <w:lang w:val="en-US" w:eastAsia="en-US"/>
                    </w:rPr>
                    <w:t xml:space="preserve"> un </w:t>
                  </w:r>
                  <w:proofErr w:type="spellStart"/>
                  <w:r w:rsidRPr="00BF389E">
                    <w:rPr>
                      <w:rFonts w:asciiTheme="minorHAnsi" w:hAnsiTheme="minorHAnsi" w:cstheme="minorHAnsi"/>
                      <w:b/>
                      <w:bCs/>
                      <w:sz w:val="22"/>
                      <w:szCs w:val="22"/>
                      <w:lang w:val="en-US" w:eastAsia="en-US"/>
                    </w:rPr>
                    <w:t>tehniskās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prasības</w:t>
                  </w:r>
                  <w:proofErr w:type="spellEnd"/>
                </w:p>
              </w:tc>
              <w:tc>
                <w:tcPr>
                  <w:tcW w:w="2913" w:type="pct"/>
                  <w:shd w:val="clear" w:color="auto" w:fill="F2F2F2"/>
                  <w:vAlign w:val="center"/>
                  <w:hideMark/>
                </w:tcPr>
                <w:p w14:paraId="5E2AFC33" w14:textId="77777777" w:rsidR="00BC09B2" w:rsidRPr="00BF389E" w:rsidRDefault="00BC09B2" w:rsidP="00170A5B">
                  <w:pPr>
                    <w:jc w:val="center"/>
                    <w:rPr>
                      <w:rFonts w:asciiTheme="minorHAnsi" w:hAnsiTheme="minorHAnsi" w:cstheme="minorHAnsi"/>
                      <w:b/>
                      <w:bCs/>
                      <w:color w:val="000000"/>
                      <w:sz w:val="22"/>
                      <w:szCs w:val="22"/>
                      <w:lang w:val="en-US" w:eastAsia="en-US"/>
                    </w:rPr>
                  </w:pPr>
                  <w:proofErr w:type="spellStart"/>
                  <w:r w:rsidRPr="00BF389E">
                    <w:rPr>
                      <w:rFonts w:asciiTheme="minorHAnsi" w:hAnsiTheme="minorHAnsi" w:cstheme="minorHAnsi"/>
                      <w:b/>
                      <w:bCs/>
                      <w:color w:val="000000"/>
                      <w:sz w:val="22"/>
                      <w:szCs w:val="22"/>
                      <w:lang w:val="en-US" w:eastAsia="en-US"/>
                    </w:rPr>
                    <w:t>Pretendenta</w:t>
                  </w:r>
                  <w:proofErr w:type="spellEnd"/>
                  <w:r w:rsidRPr="00BF389E">
                    <w:rPr>
                      <w:rFonts w:asciiTheme="minorHAnsi" w:hAnsiTheme="minorHAnsi" w:cstheme="minorHAnsi"/>
                      <w:b/>
                      <w:bCs/>
                      <w:color w:val="000000"/>
                      <w:sz w:val="22"/>
                      <w:szCs w:val="22"/>
                      <w:lang w:val="en-US" w:eastAsia="en-US"/>
                    </w:rPr>
                    <w:t xml:space="preserve"> </w:t>
                  </w:r>
                  <w:proofErr w:type="spellStart"/>
                  <w:r w:rsidRPr="00BF389E">
                    <w:rPr>
                      <w:rFonts w:asciiTheme="minorHAnsi" w:hAnsiTheme="minorHAnsi" w:cstheme="minorHAnsi"/>
                      <w:b/>
                      <w:bCs/>
                      <w:color w:val="000000"/>
                      <w:sz w:val="22"/>
                      <w:szCs w:val="22"/>
                      <w:lang w:val="en-US" w:eastAsia="en-US"/>
                    </w:rPr>
                    <w:t>tehniskais</w:t>
                  </w:r>
                  <w:proofErr w:type="spellEnd"/>
                  <w:r w:rsidRPr="00BF389E">
                    <w:rPr>
                      <w:rFonts w:asciiTheme="minorHAnsi" w:hAnsiTheme="minorHAnsi" w:cstheme="minorHAnsi"/>
                      <w:b/>
                      <w:bCs/>
                      <w:color w:val="000000"/>
                      <w:sz w:val="22"/>
                      <w:szCs w:val="22"/>
                      <w:lang w:val="en-US" w:eastAsia="en-US"/>
                    </w:rPr>
                    <w:t xml:space="preserve"> </w:t>
                  </w:r>
                  <w:proofErr w:type="spellStart"/>
                  <w:r w:rsidRPr="00BF389E">
                    <w:rPr>
                      <w:rFonts w:asciiTheme="minorHAnsi" w:hAnsiTheme="minorHAnsi" w:cstheme="minorHAnsi"/>
                      <w:b/>
                      <w:bCs/>
                      <w:color w:val="000000"/>
                      <w:sz w:val="22"/>
                      <w:szCs w:val="22"/>
                      <w:lang w:val="en-US" w:eastAsia="en-US"/>
                    </w:rPr>
                    <w:t>piedāvājums</w:t>
                  </w:r>
                  <w:proofErr w:type="spellEnd"/>
                </w:p>
              </w:tc>
            </w:tr>
            <w:tr w:rsidR="00BC09B2" w:rsidRPr="00BF389E" w14:paraId="31145649" w14:textId="77777777" w:rsidTr="00BF389E">
              <w:trPr>
                <w:trHeight w:val="20"/>
              </w:trPr>
              <w:tc>
                <w:tcPr>
                  <w:tcW w:w="900" w:type="pct"/>
                  <w:shd w:val="clear" w:color="auto" w:fill="FFFFFF"/>
                  <w:hideMark/>
                </w:tcPr>
                <w:p w14:paraId="2F28C600" w14:textId="77777777"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(Monitors 1)</w:t>
                  </w:r>
                </w:p>
                <w:p w14:paraId="4A40AA64" w14:textId="77777777"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2.9</w:t>
                  </w:r>
                </w:p>
              </w:tc>
              <w:tc>
                <w:tcPr>
                  <w:tcW w:w="1187" w:type="pct"/>
                  <w:shd w:val="clear" w:color="auto" w:fill="FFFFFF"/>
                  <w:hideMark/>
                </w:tcPr>
                <w:p w14:paraId="2DD5A79B" w14:textId="77777777"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 xml:space="preserve">Paneļa tips - vismaz </w:t>
                  </w:r>
                  <w:r w:rsidRPr="00BF389E">
                    <w:rPr>
                      <w:rFonts w:asciiTheme="minorHAnsi" w:hAnsiTheme="minorHAnsi" w:cstheme="minorHAnsi"/>
                      <w:sz w:val="22"/>
                      <w:szCs w:val="22"/>
                      <w:highlight w:val="yellow"/>
                    </w:rPr>
                    <w:t>IPS</w:t>
                  </w:r>
                </w:p>
              </w:tc>
              <w:tc>
                <w:tcPr>
                  <w:tcW w:w="2913" w:type="pct"/>
                  <w:shd w:val="clear" w:color="auto" w:fill="FFFFFF"/>
                  <w:hideMark/>
                </w:tcPr>
                <w:p w14:paraId="788BA0A6" w14:textId="6EE729DA"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 xml:space="preserve">Pārbaudot informāciju ražotāja mājas lapā par konkrēto modeli tiek , konstatēts, ka tam nav paneļa tips – vismaz IPS, bet gan </w:t>
                  </w:r>
                  <w:r w:rsidRPr="00BF389E">
                    <w:rPr>
                      <w:rFonts w:asciiTheme="minorHAnsi" w:hAnsiTheme="minorHAnsi" w:cstheme="minorHAnsi"/>
                      <w:sz w:val="22"/>
                      <w:szCs w:val="22"/>
                      <w:highlight w:val="yellow"/>
                    </w:rPr>
                    <w:t>TN</w:t>
                  </w:r>
                  <w:r w:rsidR="00BF389E">
                    <w:rPr>
                      <w:rFonts w:asciiTheme="minorHAnsi" w:hAnsiTheme="minorHAnsi" w:cstheme="minorHAnsi"/>
                      <w:sz w:val="22"/>
                      <w:szCs w:val="22"/>
                    </w:rPr>
                    <w:t xml:space="preserve"> </w:t>
                  </w:r>
                  <w:r w:rsidRPr="00BF389E">
                    <w:rPr>
                      <w:rFonts w:asciiTheme="minorHAnsi" w:hAnsiTheme="minorHAnsi" w:cstheme="minorHAnsi"/>
                      <w:sz w:val="22"/>
                      <w:szCs w:val="22"/>
                    </w:rPr>
                    <w:t>(tas nav ekvivalents pasūtītāja prasībām), kas nav atbilstoši pasūtītāja  tehnisko specifikāciju prasībām.</w:t>
                  </w:r>
                </w:p>
                <w:p w14:paraId="1F9EFB1D" w14:textId="77777777" w:rsidR="00BC09B2" w:rsidRPr="00BF389E" w:rsidRDefault="00BC09B2" w:rsidP="00170A5B">
                  <w:pPr>
                    <w:jc w:val="both"/>
                    <w:rPr>
                      <w:rFonts w:asciiTheme="minorHAnsi" w:hAnsiTheme="minorHAnsi" w:cstheme="minorHAnsi"/>
                      <w:sz w:val="22"/>
                      <w:szCs w:val="22"/>
                    </w:rPr>
                  </w:pPr>
                </w:p>
              </w:tc>
            </w:tr>
          </w:tbl>
          <w:p w14:paraId="1EFD03A4" w14:textId="6657A6CB" w:rsidR="00BC09B2" w:rsidRPr="00BF389E" w:rsidRDefault="00BC09B2" w:rsidP="004505DE">
            <w:pPr>
              <w:widowControl w:val="0"/>
              <w:autoSpaceDE w:val="0"/>
              <w:autoSpaceDN w:val="0"/>
              <w:adjustRightInd w:val="0"/>
              <w:ind w:left="512"/>
              <w:jc w:val="center"/>
              <w:rPr>
                <w:rFonts w:asciiTheme="minorHAnsi" w:hAnsiTheme="minorHAnsi" w:cstheme="minorHAnsi"/>
                <w:b/>
                <w:sz w:val="22"/>
                <w:szCs w:val="22"/>
              </w:rPr>
            </w:pPr>
          </w:p>
        </w:tc>
      </w:tr>
      <w:tr w:rsidR="00BC09B2" w:rsidRPr="00BF389E" w14:paraId="13107659" w14:textId="77777777" w:rsidTr="00BF389E">
        <w:trPr>
          <w:trHeight w:val="20"/>
        </w:trPr>
        <w:tc>
          <w:tcPr>
            <w:tcW w:w="276" w:type="pct"/>
            <w:vAlign w:val="center"/>
          </w:tcPr>
          <w:p w14:paraId="2AB73D62" w14:textId="77777777" w:rsidR="00BC09B2" w:rsidRPr="00BF389E" w:rsidRDefault="00BC09B2" w:rsidP="004505DE">
            <w:pPr>
              <w:widowControl w:val="0"/>
              <w:autoSpaceDE w:val="0"/>
              <w:autoSpaceDN w:val="0"/>
              <w:adjustRightInd w:val="0"/>
              <w:jc w:val="center"/>
              <w:rPr>
                <w:rFonts w:asciiTheme="minorHAnsi" w:hAnsiTheme="minorHAnsi" w:cstheme="minorHAnsi"/>
                <w:b/>
                <w:sz w:val="22"/>
                <w:szCs w:val="22"/>
              </w:rPr>
            </w:pPr>
          </w:p>
        </w:tc>
        <w:tc>
          <w:tcPr>
            <w:tcW w:w="858" w:type="pct"/>
            <w:vAlign w:val="center"/>
          </w:tcPr>
          <w:p w14:paraId="52BAB13E" w14:textId="2B5A2717" w:rsidR="00BC09B2" w:rsidRPr="00BF389E" w:rsidRDefault="00BC09B2" w:rsidP="00BF389E">
            <w:pPr>
              <w:widowControl w:val="0"/>
              <w:autoSpaceDE w:val="0"/>
              <w:autoSpaceDN w:val="0"/>
              <w:adjustRightInd w:val="0"/>
              <w:jc w:val="center"/>
              <w:rPr>
                <w:rFonts w:asciiTheme="minorHAnsi" w:hAnsiTheme="minorHAnsi" w:cstheme="minorHAnsi"/>
                <w:b/>
                <w:sz w:val="22"/>
                <w:szCs w:val="22"/>
              </w:rPr>
            </w:pPr>
            <w:r w:rsidRPr="00BF389E">
              <w:rPr>
                <w:rFonts w:asciiTheme="minorHAnsi" w:hAnsiTheme="minorHAnsi" w:cstheme="minorHAnsi"/>
                <w:b/>
                <w:sz w:val="22"/>
                <w:szCs w:val="22"/>
              </w:rPr>
              <w:t xml:space="preserve">SIA </w:t>
            </w:r>
            <w:r w:rsidRPr="00BF389E">
              <w:rPr>
                <w:rFonts w:asciiTheme="minorHAnsi" w:hAnsiTheme="minorHAnsi" w:cstheme="minorHAnsi"/>
                <w:b/>
                <w:sz w:val="22"/>
                <w:szCs w:val="22"/>
              </w:rPr>
              <w:lastRenderedPageBreak/>
              <w:t>“</w:t>
            </w:r>
            <w:proofErr w:type="spellStart"/>
            <w:r w:rsidRPr="00BF389E">
              <w:rPr>
                <w:rFonts w:asciiTheme="minorHAnsi" w:hAnsiTheme="minorHAnsi" w:cstheme="minorHAnsi"/>
                <w:b/>
                <w:sz w:val="22"/>
                <w:szCs w:val="22"/>
              </w:rPr>
              <w:t>Lattelecom</w:t>
            </w:r>
            <w:proofErr w:type="spellEnd"/>
            <w:r w:rsidRPr="00BF389E">
              <w:rPr>
                <w:rFonts w:asciiTheme="minorHAnsi" w:hAnsiTheme="minorHAnsi" w:cstheme="minorHAnsi"/>
                <w:b/>
                <w:sz w:val="22"/>
                <w:szCs w:val="22"/>
              </w:rPr>
              <w:t>”</w:t>
            </w:r>
          </w:p>
        </w:tc>
        <w:tc>
          <w:tcPr>
            <w:tcW w:w="3866" w:type="pct"/>
            <w:vAlign w:val="center"/>
          </w:tcPr>
          <w:p w14:paraId="7BACADCB" w14:textId="77777777" w:rsidR="00BC09B2" w:rsidRPr="00BF389E" w:rsidRDefault="00BC09B2" w:rsidP="004505DE">
            <w:pPr>
              <w:widowControl w:val="0"/>
              <w:autoSpaceDE w:val="0"/>
              <w:autoSpaceDN w:val="0"/>
              <w:adjustRightInd w:val="0"/>
              <w:ind w:left="512"/>
              <w:jc w:val="center"/>
              <w:rPr>
                <w:rFonts w:asciiTheme="minorHAnsi" w:hAnsiTheme="minorHAnsi" w:cstheme="minorHAnsi"/>
                <w:b/>
                <w:sz w:val="22"/>
                <w:szCs w:val="22"/>
              </w:rPr>
            </w:pPr>
            <w:r w:rsidRPr="00BF389E">
              <w:rPr>
                <w:rFonts w:asciiTheme="minorHAnsi" w:hAnsiTheme="minorHAnsi" w:cstheme="minorHAnsi"/>
                <w:b/>
                <w:sz w:val="22"/>
                <w:szCs w:val="22"/>
              </w:rPr>
              <w:lastRenderedPageBreak/>
              <w:t xml:space="preserve">Komisija konstatēja, ka piedāvājums nav atbilstošs pasūtītāja tehnisko </w:t>
            </w:r>
            <w:r w:rsidRPr="00BF389E">
              <w:rPr>
                <w:rFonts w:asciiTheme="minorHAnsi" w:hAnsiTheme="minorHAnsi" w:cstheme="minorHAnsi"/>
                <w:b/>
                <w:sz w:val="22"/>
                <w:szCs w:val="22"/>
              </w:rPr>
              <w:lastRenderedPageBreak/>
              <w:t>specifikāciju prasībām un noraidīja  to tehnisko piedāvājumu vērtēšanas posmā.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755"/>
              <w:gridCol w:w="4308"/>
            </w:tblGrid>
            <w:tr w:rsidR="00BC09B2" w:rsidRPr="00BF389E" w14:paraId="2D25BB58" w14:textId="77777777" w:rsidTr="00BF389E">
              <w:trPr>
                <w:trHeight w:val="617"/>
              </w:trPr>
              <w:tc>
                <w:tcPr>
                  <w:tcW w:w="900" w:type="pct"/>
                  <w:shd w:val="clear" w:color="auto" w:fill="F2F2F2"/>
                  <w:vAlign w:val="center"/>
                  <w:hideMark/>
                </w:tcPr>
                <w:p w14:paraId="5D37AC39" w14:textId="77777777" w:rsidR="00BC09B2" w:rsidRPr="00BF389E" w:rsidRDefault="00BC09B2" w:rsidP="00170A5B">
                  <w:pPr>
                    <w:jc w:val="center"/>
                    <w:rPr>
                      <w:rFonts w:asciiTheme="minorHAnsi" w:hAnsiTheme="minorHAnsi" w:cstheme="minorHAnsi"/>
                      <w:b/>
                      <w:bCs/>
                      <w:color w:val="000000"/>
                      <w:sz w:val="22"/>
                      <w:szCs w:val="22"/>
                      <w:lang w:eastAsia="en-US"/>
                    </w:rPr>
                  </w:pPr>
                  <w:r w:rsidRPr="00BF389E">
                    <w:rPr>
                      <w:rFonts w:asciiTheme="minorHAnsi" w:hAnsiTheme="minorHAnsi" w:cstheme="minorHAnsi"/>
                      <w:b/>
                      <w:bCs/>
                      <w:sz w:val="22"/>
                      <w:szCs w:val="22"/>
                      <w:lang w:eastAsia="en-US"/>
                    </w:rPr>
                    <w:t>NR</w:t>
                  </w:r>
                </w:p>
              </w:tc>
              <w:tc>
                <w:tcPr>
                  <w:tcW w:w="1187" w:type="pct"/>
                  <w:shd w:val="clear" w:color="auto" w:fill="F2F2F2"/>
                  <w:vAlign w:val="center"/>
                  <w:hideMark/>
                </w:tcPr>
                <w:p w14:paraId="3BD70111" w14:textId="77777777" w:rsidR="00BC09B2" w:rsidRPr="00BF389E" w:rsidRDefault="00BC09B2" w:rsidP="00170A5B">
                  <w:pPr>
                    <w:jc w:val="center"/>
                    <w:rPr>
                      <w:rFonts w:asciiTheme="minorHAnsi" w:hAnsiTheme="minorHAnsi" w:cstheme="minorHAnsi"/>
                      <w:b/>
                      <w:bCs/>
                      <w:color w:val="000000"/>
                      <w:sz w:val="22"/>
                      <w:szCs w:val="22"/>
                      <w:lang w:val="en-US" w:eastAsia="en-US"/>
                    </w:rPr>
                  </w:pPr>
                  <w:proofErr w:type="spellStart"/>
                  <w:r w:rsidRPr="00BF389E">
                    <w:rPr>
                      <w:rFonts w:asciiTheme="minorHAnsi" w:hAnsiTheme="minorHAnsi" w:cstheme="minorHAnsi"/>
                      <w:b/>
                      <w:bCs/>
                      <w:sz w:val="22"/>
                      <w:szCs w:val="22"/>
                      <w:lang w:val="en-US" w:eastAsia="en-US"/>
                    </w:rPr>
                    <w:t>Veicamās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funkcijas</w:t>
                  </w:r>
                  <w:proofErr w:type="spellEnd"/>
                  <w:r w:rsidRPr="00BF389E">
                    <w:rPr>
                      <w:rFonts w:asciiTheme="minorHAnsi" w:hAnsiTheme="minorHAnsi" w:cstheme="minorHAnsi"/>
                      <w:b/>
                      <w:bCs/>
                      <w:sz w:val="22"/>
                      <w:szCs w:val="22"/>
                      <w:lang w:val="en-US" w:eastAsia="en-US"/>
                    </w:rPr>
                    <w:t xml:space="preserve"> un </w:t>
                  </w:r>
                  <w:proofErr w:type="spellStart"/>
                  <w:r w:rsidRPr="00BF389E">
                    <w:rPr>
                      <w:rFonts w:asciiTheme="minorHAnsi" w:hAnsiTheme="minorHAnsi" w:cstheme="minorHAnsi"/>
                      <w:b/>
                      <w:bCs/>
                      <w:sz w:val="22"/>
                      <w:szCs w:val="22"/>
                      <w:lang w:val="en-US" w:eastAsia="en-US"/>
                    </w:rPr>
                    <w:t>tehniskās</w:t>
                  </w:r>
                  <w:proofErr w:type="spellEnd"/>
                  <w:r w:rsidRPr="00BF389E">
                    <w:rPr>
                      <w:rFonts w:asciiTheme="minorHAnsi" w:hAnsiTheme="minorHAnsi" w:cstheme="minorHAnsi"/>
                      <w:b/>
                      <w:bCs/>
                      <w:sz w:val="22"/>
                      <w:szCs w:val="22"/>
                      <w:lang w:val="en-US" w:eastAsia="en-US"/>
                    </w:rPr>
                    <w:t xml:space="preserve"> </w:t>
                  </w:r>
                  <w:proofErr w:type="spellStart"/>
                  <w:r w:rsidRPr="00BF389E">
                    <w:rPr>
                      <w:rFonts w:asciiTheme="minorHAnsi" w:hAnsiTheme="minorHAnsi" w:cstheme="minorHAnsi"/>
                      <w:b/>
                      <w:bCs/>
                      <w:sz w:val="22"/>
                      <w:szCs w:val="22"/>
                      <w:lang w:val="en-US" w:eastAsia="en-US"/>
                    </w:rPr>
                    <w:t>prasības</w:t>
                  </w:r>
                  <w:proofErr w:type="spellEnd"/>
                </w:p>
              </w:tc>
              <w:tc>
                <w:tcPr>
                  <w:tcW w:w="2913" w:type="pct"/>
                  <w:shd w:val="clear" w:color="auto" w:fill="F2F2F2"/>
                  <w:vAlign w:val="center"/>
                  <w:hideMark/>
                </w:tcPr>
                <w:p w14:paraId="4250B467" w14:textId="77777777" w:rsidR="00BC09B2" w:rsidRPr="00BF389E" w:rsidRDefault="00BC09B2" w:rsidP="00170A5B">
                  <w:pPr>
                    <w:jc w:val="center"/>
                    <w:rPr>
                      <w:rFonts w:asciiTheme="minorHAnsi" w:hAnsiTheme="minorHAnsi" w:cstheme="minorHAnsi"/>
                      <w:b/>
                      <w:bCs/>
                      <w:color w:val="000000"/>
                      <w:sz w:val="22"/>
                      <w:szCs w:val="22"/>
                      <w:lang w:val="en-US" w:eastAsia="en-US"/>
                    </w:rPr>
                  </w:pPr>
                  <w:proofErr w:type="spellStart"/>
                  <w:r w:rsidRPr="00BF389E">
                    <w:rPr>
                      <w:rFonts w:asciiTheme="minorHAnsi" w:hAnsiTheme="minorHAnsi" w:cstheme="minorHAnsi"/>
                      <w:b/>
                      <w:bCs/>
                      <w:color w:val="000000"/>
                      <w:sz w:val="22"/>
                      <w:szCs w:val="22"/>
                      <w:lang w:val="en-US" w:eastAsia="en-US"/>
                    </w:rPr>
                    <w:t>Pretendenta</w:t>
                  </w:r>
                  <w:proofErr w:type="spellEnd"/>
                  <w:r w:rsidRPr="00BF389E">
                    <w:rPr>
                      <w:rFonts w:asciiTheme="minorHAnsi" w:hAnsiTheme="minorHAnsi" w:cstheme="minorHAnsi"/>
                      <w:b/>
                      <w:bCs/>
                      <w:color w:val="000000"/>
                      <w:sz w:val="22"/>
                      <w:szCs w:val="22"/>
                      <w:lang w:val="en-US" w:eastAsia="en-US"/>
                    </w:rPr>
                    <w:t xml:space="preserve"> </w:t>
                  </w:r>
                  <w:proofErr w:type="spellStart"/>
                  <w:r w:rsidRPr="00BF389E">
                    <w:rPr>
                      <w:rFonts w:asciiTheme="minorHAnsi" w:hAnsiTheme="minorHAnsi" w:cstheme="minorHAnsi"/>
                      <w:b/>
                      <w:bCs/>
                      <w:color w:val="000000"/>
                      <w:sz w:val="22"/>
                      <w:szCs w:val="22"/>
                      <w:lang w:val="en-US" w:eastAsia="en-US"/>
                    </w:rPr>
                    <w:t>tehniskais</w:t>
                  </w:r>
                  <w:proofErr w:type="spellEnd"/>
                  <w:r w:rsidRPr="00BF389E">
                    <w:rPr>
                      <w:rFonts w:asciiTheme="minorHAnsi" w:hAnsiTheme="minorHAnsi" w:cstheme="minorHAnsi"/>
                      <w:b/>
                      <w:bCs/>
                      <w:color w:val="000000"/>
                      <w:sz w:val="22"/>
                      <w:szCs w:val="22"/>
                      <w:lang w:val="en-US" w:eastAsia="en-US"/>
                    </w:rPr>
                    <w:t xml:space="preserve"> </w:t>
                  </w:r>
                  <w:proofErr w:type="spellStart"/>
                  <w:r w:rsidRPr="00BF389E">
                    <w:rPr>
                      <w:rFonts w:asciiTheme="minorHAnsi" w:hAnsiTheme="minorHAnsi" w:cstheme="minorHAnsi"/>
                      <w:b/>
                      <w:bCs/>
                      <w:color w:val="000000"/>
                      <w:sz w:val="22"/>
                      <w:szCs w:val="22"/>
                      <w:lang w:val="en-US" w:eastAsia="en-US"/>
                    </w:rPr>
                    <w:t>piedāvājums</w:t>
                  </w:r>
                  <w:proofErr w:type="spellEnd"/>
                </w:p>
              </w:tc>
            </w:tr>
            <w:tr w:rsidR="00BC09B2" w:rsidRPr="00BF389E" w14:paraId="046EF599" w14:textId="77777777" w:rsidTr="00BF389E">
              <w:trPr>
                <w:trHeight w:val="559"/>
              </w:trPr>
              <w:tc>
                <w:tcPr>
                  <w:tcW w:w="900" w:type="pct"/>
                  <w:shd w:val="clear" w:color="auto" w:fill="FFFFFF"/>
                  <w:hideMark/>
                </w:tcPr>
                <w:p w14:paraId="1B90F656" w14:textId="77777777"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(Monitors 1)  2.9</w:t>
                  </w:r>
                </w:p>
              </w:tc>
              <w:tc>
                <w:tcPr>
                  <w:tcW w:w="1187" w:type="pct"/>
                  <w:shd w:val="clear" w:color="auto" w:fill="FFFFFF"/>
                  <w:hideMark/>
                </w:tcPr>
                <w:p w14:paraId="23471324" w14:textId="77777777"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 xml:space="preserve">Paneļa tips - vismaz </w:t>
                  </w:r>
                  <w:r w:rsidRPr="00BF389E">
                    <w:rPr>
                      <w:rFonts w:asciiTheme="minorHAnsi" w:hAnsiTheme="minorHAnsi" w:cstheme="minorHAnsi"/>
                      <w:sz w:val="22"/>
                      <w:szCs w:val="22"/>
                      <w:highlight w:val="yellow"/>
                    </w:rPr>
                    <w:t>IPS</w:t>
                  </w:r>
                </w:p>
              </w:tc>
              <w:tc>
                <w:tcPr>
                  <w:tcW w:w="2913" w:type="pct"/>
                  <w:shd w:val="clear" w:color="auto" w:fill="FFFFFF"/>
                  <w:hideMark/>
                </w:tcPr>
                <w:p w14:paraId="78B61402" w14:textId="270AC3DC" w:rsidR="00BC09B2" w:rsidRPr="00BF389E" w:rsidRDefault="00BC09B2" w:rsidP="00170A5B">
                  <w:pPr>
                    <w:jc w:val="both"/>
                    <w:rPr>
                      <w:rFonts w:asciiTheme="minorHAnsi" w:hAnsiTheme="minorHAnsi" w:cstheme="minorHAnsi"/>
                      <w:sz w:val="22"/>
                      <w:szCs w:val="22"/>
                    </w:rPr>
                  </w:pPr>
                  <w:r w:rsidRPr="00BF389E">
                    <w:rPr>
                      <w:rFonts w:asciiTheme="minorHAnsi" w:hAnsiTheme="minorHAnsi" w:cstheme="minorHAnsi"/>
                      <w:sz w:val="22"/>
                      <w:szCs w:val="22"/>
                    </w:rPr>
                    <w:t xml:space="preserve">Pārbaudot informāciju ražotāja mājas lapā par konkrēto modeli tiek , konstatēts, ka tam nav paneļa tips – vismaz IPS, bet gan </w:t>
                  </w:r>
                  <w:r w:rsidRPr="00BF389E">
                    <w:rPr>
                      <w:rFonts w:asciiTheme="minorHAnsi" w:hAnsiTheme="minorHAnsi" w:cstheme="minorHAnsi"/>
                      <w:sz w:val="22"/>
                      <w:szCs w:val="22"/>
                      <w:highlight w:val="yellow"/>
                    </w:rPr>
                    <w:t>TN</w:t>
                  </w:r>
                  <w:r w:rsidRPr="00BF389E">
                    <w:rPr>
                      <w:rFonts w:asciiTheme="minorHAnsi" w:hAnsiTheme="minorHAnsi" w:cstheme="minorHAnsi"/>
                      <w:sz w:val="22"/>
                      <w:szCs w:val="22"/>
                    </w:rPr>
                    <w:t xml:space="preserve"> (tas nav ekvivalents pasūtītāja prasībām), kas nav atbilstoši pasūtītāja  tehnisko specifikāciju prasībām.</w:t>
                  </w:r>
                </w:p>
                <w:p w14:paraId="7C2A78F3" w14:textId="77777777" w:rsidR="00BC09B2" w:rsidRPr="00BF389E" w:rsidRDefault="00BC09B2" w:rsidP="00170A5B">
                  <w:pPr>
                    <w:jc w:val="both"/>
                    <w:rPr>
                      <w:rFonts w:asciiTheme="minorHAnsi" w:hAnsiTheme="minorHAnsi" w:cstheme="minorHAnsi"/>
                      <w:sz w:val="22"/>
                      <w:szCs w:val="22"/>
                    </w:rPr>
                  </w:pPr>
                </w:p>
              </w:tc>
            </w:tr>
          </w:tbl>
          <w:p w14:paraId="5F2E6CCA" w14:textId="1BFB308E" w:rsidR="00BC09B2" w:rsidRPr="00BF389E" w:rsidRDefault="00BC09B2" w:rsidP="004505DE">
            <w:pPr>
              <w:widowControl w:val="0"/>
              <w:autoSpaceDE w:val="0"/>
              <w:autoSpaceDN w:val="0"/>
              <w:adjustRightInd w:val="0"/>
              <w:ind w:left="512"/>
              <w:jc w:val="center"/>
              <w:rPr>
                <w:rFonts w:asciiTheme="minorHAnsi" w:hAnsiTheme="minorHAnsi" w:cstheme="minorHAnsi"/>
                <w:b/>
                <w:sz w:val="22"/>
                <w:szCs w:val="22"/>
              </w:rPr>
            </w:pPr>
          </w:p>
        </w:tc>
      </w:tr>
    </w:tbl>
    <w:p w14:paraId="270FE291" w14:textId="77777777" w:rsidR="004505DE" w:rsidRPr="00BF389E" w:rsidRDefault="004505DE" w:rsidP="004505DE">
      <w:pPr>
        <w:pStyle w:val="ListParagraph"/>
        <w:tabs>
          <w:tab w:val="left" w:pos="284"/>
          <w:tab w:val="left" w:pos="426"/>
          <w:tab w:val="left" w:pos="567"/>
        </w:tabs>
        <w:spacing w:line="276" w:lineRule="auto"/>
        <w:ind w:left="0"/>
        <w:jc w:val="both"/>
        <w:rPr>
          <w:rFonts w:ascii="Calibri" w:hAnsi="Calibri" w:cs="Calibri"/>
          <w:sz w:val="22"/>
          <w:szCs w:val="22"/>
          <w:lang w:eastAsia="ar-SA"/>
        </w:rPr>
      </w:pPr>
    </w:p>
    <w:p w14:paraId="7C86F8BC" w14:textId="5933FC2B" w:rsidR="00CC7CFE" w:rsidRPr="00BF389E" w:rsidRDefault="00823174" w:rsidP="00C1216B">
      <w:pPr>
        <w:pStyle w:val="ListParagraph"/>
        <w:numPr>
          <w:ilvl w:val="0"/>
          <w:numId w:val="11"/>
        </w:numPr>
        <w:tabs>
          <w:tab w:val="left" w:pos="284"/>
          <w:tab w:val="left" w:pos="426"/>
          <w:tab w:val="left" w:pos="567"/>
        </w:tabs>
        <w:spacing w:line="276" w:lineRule="auto"/>
        <w:ind w:left="0" w:firstLine="0"/>
        <w:jc w:val="both"/>
        <w:rPr>
          <w:rFonts w:ascii="Calibri" w:hAnsi="Calibri" w:cs="Calibri"/>
          <w:sz w:val="22"/>
          <w:szCs w:val="22"/>
        </w:rPr>
      </w:pPr>
      <w:r w:rsidRPr="00BF389E">
        <w:rPr>
          <w:rFonts w:ascii="Calibri" w:hAnsi="Calibri" w:cs="Calibri"/>
          <w:b/>
          <w:sz w:val="22"/>
          <w:szCs w:val="22"/>
          <w:u w:val="single"/>
        </w:rPr>
        <w:t>P</w:t>
      </w:r>
      <w:r w:rsidR="00CC7CFE" w:rsidRPr="00BF389E">
        <w:rPr>
          <w:rFonts w:ascii="Calibri" w:hAnsi="Calibri" w:cs="Calibri"/>
          <w:b/>
          <w:sz w:val="22"/>
          <w:szCs w:val="22"/>
          <w:u w:val="single"/>
        </w:rPr>
        <w:t xml:space="preserve">iedāvājuma izvēles un vērtēšanas kritēriji: </w:t>
      </w:r>
      <w:r w:rsidR="00523801" w:rsidRPr="00BF389E">
        <w:rPr>
          <w:rFonts w:ascii="Calibri" w:hAnsi="Calibri" w:cs="Calibri"/>
          <w:sz w:val="22"/>
          <w:szCs w:val="22"/>
        </w:rPr>
        <w:t xml:space="preserve">Piedāvājums, kas ir ar viszemāko cenu un kas pilnībā </w:t>
      </w:r>
      <w:r w:rsidR="00C1216B" w:rsidRPr="00BF389E">
        <w:rPr>
          <w:rFonts w:ascii="Calibri" w:hAnsi="Calibri" w:cs="Calibri"/>
          <w:sz w:val="22"/>
          <w:szCs w:val="22"/>
        </w:rPr>
        <w:t xml:space="preserve"> nolikumā </w:t>
      </w:r>
      <w:r w:rsidR="00523801" w:rsidRPr="00BF389E">
        <w:rPr>
          <w:rFonts w:ascii="Calibri" w:hAnsi="Calibri" w:cs="Calibri"/>
          <w:sz w:val="22"/>
          <w:szCs w:val="22"/>
        </w:rPr>
        <w:t>atbilst izvirzītajām prasībām</w:t>
      </w:r>
      <w:r w:rsidR="00BC09B2" w:rsidRPr="00BF389E">
        <w:rPr>
          <w:rFonts w:ascii="Calibri" w:hAnsi="Calibri" w:cs="Calibri"/>
          <w:sz w:val="22"/>
          <w:szCs w:val="22"/>
        </w:rPr>
        <w:t xml:space="preserve"> katrā iepirkuma daļā</w:t>
      </w:r>
      <w:r w:rsidR="00523801" w:rsidRPr="00BF389E">
        <w:rPr>
          <w:rFonts w:ascii="Calibri" w:hAnsi="Calibri" w:cs="Calibri"/>
          <w:sz w:val="22"/>
          <w:szCs w:val="22"/>
        </w:rPr>
        <w:t>.</w:t>
      </w:r>
    </w:p>
    <w:p w14:paraId="206ED118" w14:textId="77777777" w:rsidR="00CB365A" w:rsidRPr="00BF389E"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Calibri"/>
          <w:b/>
          <w:sz w:val="22"/>
          <w:szCs w:val="22"/>
          <w:lang w:eastAsia="en-US"/>
        </w:rPr>
      </w:pPr>
      <w:r w:rsidRPr="00BF389E">
        <w:rPr>
          <w:rFonts w:ascii="Calibri" w:hAnsi="Calibri" w:cs="Calibri"/>
          <w:b/>
          <w:sz w:val="22"/>
          <w:szCs w:val="22"/>
          <w:u w:val="single"/>
        </w:rPr>
        <w:t>Pretendenta nosaukums, ar kuru nolemts slēgt iepirkuma līgumu un pamatojums</w:t>
      </w:r>
    </w:p>
    <w:p w14:paraId="25B2454C" w14:textId="4F58FE1D" w:rsidR="001D205B" w:rsidRPr="00BF389E" w:rsidRDefault="00CC7CFE" w:rsidP="00C1216B">
      <w:pPr>
        <w:widowControl w:val="0"/>
        <w:tabs>
          <w:tab w:val="left" w:pos="284"/>
          <w:tab w:val="left" w:pos="426"/>
        </w:tabs>
        <w:autoSpaceDE w:val="0"/>
        <w:autoSpaceDN w:val="0"/>
        <w:adjustRightInd w:val="0"/>
        <w:spacing w:line="276" w:lineRule="auto"/>
        <w:contextualSpacing/>
        <w:jc w:val="both"/>
        <w:rPr>
          <w:rFonts w:ascii="Calibri" w:hAnsi="Calibri" w:cs="Calibri"/>
          <w:sz w:val="22"/>
          <w:szCs w:val="22"/>
        </w:rPr>
      </w:pPr>
      <w:r w:rsidRPr="00BF389E">
        <w:rPr>
          <w:rFonts w:ascii="Calibri" w:hAnsi="Calibri" w:cs="Calibri"/>
          <w:b/>
          <w:sz w:val="22"/>
          <w:szCs w:val="22"/>
          <w:u w:val="single"/>
        </w:rPr>
        <w:t xml:space="preserve"> piedāvājuma izvēlei:</w:t>
      </w:r>
      <w:r w:rsidR="007B42FF" w:rsidRPr="00BF389E">
        <w:rPr>
          <w:rFonts w:ascii="Calibri" w:hAnsi="Calibri" w:cs="Calibri"/>
          <w:b/>
          <w:sz w:val="22"/>
          <w:szCs w:val="22"/>
          <w:u w:val="single"/>
        </w:rPr>
        <w:t xml:space="preserve"> </w:t>
      </w:r>
      <w:r w:rsidR="00306B3C" w:rsidRPr="00BF389E">
        <w:rPr>
          <w:rFonts w:ascii="Calibri" w:hAnsi="Calibri" w:cs="Calibri"/>
          <w:b/>
          <w:sz w:val="22"/>
          <w:szCs w:val="22"/>
          <w:u w:val="single"/>
        </w:rPr>
        <w:t xml:space="preserve"> </w:t>
      </w:r>
      <w:r w:rsidR="00107A11" w:rsidRPr="00BF389E">
        <w:rPr>
          <w:rFonts w:ascii="Calibri" w:hAnsi="Calibri" w:cs="Calibri"/>
          <w:sz w:val="22"/>
          <w:szCs w:val="22"/>
        </w:rPr>
        <w:t>Piedāvājum</w:t>
      </w:r>
      <w:r w:rsidR="00B356A2" w:rsidRPr="00BF389E">
        <w:rPr>
          <w:rFonts w:ascii="Calibri" w:hAnsi="Calibri" w:cs="Calibri"/>
          <w:sz w:val="22"/>
          <w:szCs w:val="22"/>
        </w:rPr>
        <w:t>s</w:t>
      </w:r>
      <w:r w:rsidR="00107A11" w:rsidRPr="00BF389E">
        <w:rPr>
          <w:rFonts w:ascii="Calibri" w:hAnsi="Calibri" w:cs="Calibri"/>
          <w:sz w:val="22"/>
          <w:szCs w:val="22"/>
        </w:rPr>
        <w:t>, kas atbilst Nolikumā izvirzītajām prasībām un ir ar viszemāko cenu</w:t>
      </w:r>
      <w:r w:rsidR="0089459D" w:rsidRPr="00BF389E">
        <w:rPr>
          <w:rFonts w:ascii="Calibri" w:hAnsi="Calibri" w:cs="Calibri"/>
          <w:sz w:val="22"/>
          <w:szCs w:val="22"/>
        </w:rPr>
        <w:t xml:space="preserve"> konkrētajā iepirkuma daļā</w:t>
      </w:r>
      <w:r w:rsidR="00107A11" w:rsidRPr="00BF389E">
        <w:rPr>
          <w:rFonts w:ascii="Calibri" w:hAnsi="Calibri" w:cs="Calibri"/>
          <w:sz w:val="22"/>
          <w:szCs w:val="22"/>
        </w:rPr>
        <w:t>,  un attiecībā uz kuriem nav iestājies neviens no Publisko iepirkumu</w:t>
      </w:r>
      <w:r w:rsidR="0089459D" w:rsidRPr="00BF389E">
        <w:rPr>
          <w:rFonts w:ascii="Calibri" w:hAnsi="Calibri" w:cs="Calibri"/>
          <w:sz w:val="22"/>
          <w:szCs w:val="22"/>
        </w:rPr>
        <w:t xml:space="preserve"> likuma 9. panta astotajā  daļā </w:t>
      </w:r>
      <w:r w:rsidR="00107A11" w:rsidRPr="00BF389E">
        <w:rPr>
          <w:rFonts w:ascii="Calibri" w:hAnsi="Calibri" w:cs="Calibri"/>
          <w:sz w:val="22"/>
          <w:szCs w:val="22"/>
        </w:rPr>
        <w:t xml:space="preserve"> minētajiem izslēgšanas nosacījumiem:</w:t>
      </w:r>
      <w:r w:rsidR="00B356A2" w:rsidRPr="00BF389E">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93"/>
        <w:gridCol w:w="2834"/>
        <w:gridCol w:w="2093"/>
      </w:tblGrid>
      <w:tr w:rsidR="00BC09B2" w:rsidRPr="00BF389E" w14:paraId="171E82CE" w14:textId="77777777" w:rsidTr="00170A5B">
        <w:trPr>
          <w:trHeight w:val="161"/>
        </w:trPr>
        <w:tc>
          <w:tcPr>
            <w:tcW w:w="271" w:type="pct"/>
            <w:shd w:val="clear" w:color="auto" w:fill="D9D9D9"/>
          </w:tcPr>
          <w:p w14:paraId="7E6B6993"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BC09B2">
              <w:rPr>
                <w:rFonts w:asciiTheme="minorHAnsi" w:hAnsiTheme="minorHAnsi" w:cstheme="minorHAnsi"/>
                <w:i/>
                <w:color w:val="000000" w:themeColor="text1"/>
                <w:sz w:val="22"/>
                <w:szCs w:val="22"/>
                <w:lang w:eastAsia="en-US"/>
              </w:rPr>
              <w:t>Nr.</w:t>
            </w:r>
          </w:p>
        </w:tc>
        <w:tc>
          <w:tcPr>
            <w:tcW w:w="2229" w:type="pct"/>
            <w:shd w:val="clear" w:color="auto" w:fill="D9D9D9"/>
          </w:tcPr>
          <w:p w14:paraId="79BE1752"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BC09B2">
              <w:rPr>
                <w:rFonts w:asciiTheme="minorHAnsi" w:hAnsiTheme="minorHAnsi" w:cstheme="minorHAnsi"/>
                <w:i/>
                <w:color w:val="000000" w:themeColor="text1"/>
                <w:sz w:val="22"/>
                <w:szCs w:val="22"/>
                <w:lang w:eastAsia="en-US"/>
              </w:rPr>
              <w:t>Iepirkuma daļas nosaukums</w:t>
            </w:r>
          </w:p>
        </w:tc>
        <w:tc>
          <w:tcPr>
            <w:tcW w:w="1438" w:type="pct"/>
            <w:shd w:val="clear" w:color="auto" w:fill="D9D9D9"/>
          </w:tcPr>
          <w:p w14:paraId="0C91ACCA"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BC09B2">
              <w:rPr>
                <w:rFonts w:asciiTheme="minorHAnsi" w:hAnsiTheme="minorHAnsi" w:cstheme="minorHAnsi"/>
                <w:i/>
                <w:color w:val="000000" w:themeColor="text1"/>
                <w:sz w:val="22"/>
                <w:szCs w:val="22"/>
                <w:lang w:eastAsia="en-US"/>
              </w:rPr>
              <w:t>Uzvarētājs</w:t>
            </w:r>
          </w:p>
        </w:tc>
        <w:tc>
          <w:tcPr>
            <w:tcW w:w="1062" w:type="pct"/>
            <w:shd w:val="clear" w:color="auto" w:fill="D9D9D9"/>
          </w:tcPr>
          <w:p w14:paraId="4B9E6892"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i/>
                <w:color w:val="000000" w:themeColor="text1"/>
                <w:sz w:val="22"/>
                <w:szCs w:val="22"/>
                <w:lang w:eastAsia="en-US"/>
              </w:rPr>
            </w:pPr>
            <w:r w:rsidRPr="00BC09B2">
              <w:rPr>
                <w:rFonts w:asciiTheme="minorHAnsi" w:hAnsiTheme="minorHAnsi" w:cstheme="minorHAnsi"/>
                <w:i/>
                <w:color w:val="000000" w:themeColor="text1"/>
                <w:sz w:val="22"/>
                <w:szCs w:val="22"/>
                <w:lang w:eastAsia="en-US"/>
              </w:rPr>
              <w:t>Līgumcena EUR, Bez PVN</w:t>
            </w:r>
          </w:p>
        </w:tc>
      </w:tr>
      <w:tr w:rsidR="00BC09B2" w:rsidRPr="00BF389E" w14:paraId="7A401865" w14:textId="77777777" w:rsidTr="00170A5B">
        <w:trPr>
          <w:trHeight w:val="161"/>
        </w:trPr>
        <w:tc>
          <w:tcPr>
            <w:tcW w:w="271" w:type="pct"/>
          </w:tcPr>
          <w:p w14:paraId="088CE38B" w14:textId="77777777" w:rsidR="00BC09B2" w:rsidRPr="00BC09B2" w:rsidRDefault="00BC09B2" w:rsidP="00BC09B2">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p>
        </w:tc>
        <w:tc>
          <w:tcPr>
            <w:tcW w:w="2229" w:type="pct"/>
          </w:tcPr>
          <w:p w14:paraId="200202A5"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r w:rsidRPr="00BC09B2">
              <w:rPr>
                <w:rFonts w:asciiTheme="minorHAnsi" w:hAnsiTheme="minorHAnsi" w:cstheme="minorHAnsi"/>
                <w:color w:val="000000" w:themeColor="text1"/>
                <w:sz w:val="22"/>
                <w:szCs w:val="22"/>
                <w:lang w:eastAsia="en-US"/>
              </w:rPr>
              <w:t>1.daļa -Datori un programmatūra</w:t>
            </w:r>
          </w:p>
        </w:tc>
        <w:tc>
          <w:tcPr>
            <w:tcW w:w="1438" w:type="pct"/>
          </w:tcPr>
          <w:p w14:paraId="082C41CC" w14:textId="77777777" w:rsidR="00BC09B2" w:rsidRPr="00BC09B2" w:rsidRDefault="00BC09B2" w:rsidP="00BC09B2">
            <w:pPr>
              <w:widowControl w:val="0"/>
              <w:autoSpaceDE w:val="0"/>
              <w:autoSpaceDN w:val="0"/>
              <w:adjustRightInd w:val="0"/>
              <w:rPr>
                <w:rFonts w:asciiTheme="minorHAnsi" w:hAnsiTheme="minorHAnsi" w:cstheme="minorHAnsi"/>
                <w:i/>
                <w:color w:val="000000" w:themeColor="text1"/>
                <w:sz w:val="22"/>
                <w:szCs w:val="22"/>
              </w:rPr>
            </w:pPr>
            <w:r w:rsidRPr="00BC09B2">
              <w:rPr>
                <w:rFonts w:asciiTheme="minorHAnsi" w:hAnsiTheme="minorHAnsi" w:cstheme="minorHAnsi"/>
                <w:i/>
                <w:color w:val="000000" w:themeColor="text1"/>
                <w:sz w:val="22"/>
                <w:szCs w:val="22"/>
              </w:rPr>
              <w:t>SIA “LDC Datortehnika”</w:t>
            </w:r>
          </w:p>
        </w:tc>
        <w:tc>
          <w:tcPr>
            <w:tcW w:w="1062" w:type="pct"/>
          </w:tcPr>
          <w:p w14:paraId="24E4D806" w14:textId="77777777" w:rsidR="00BC09B2" w:rsidRPr="00BC09B2" w:rsidRDefault="00BC09B2" w:rsidP="00BC09B2">
            <w:pPr>
              <w:widowControl w:val="0"/>
              <w:autoSpaceDE w:val="0"/>
              <w:autoSpaceDN w:val="0"/>
              <w:adjustRightInd w:val="0"/>
              <w:ind w:left="512"/>
              <w:jc w:val="both"/>
              <w:rPr>
                <w:rFonts w:asciiTheme="minorHAnsi" w:hAnsiTheme="minorHAnsi" w:cstheme="minorHAnsi"/>
                <w:i/>
                <w:color w:val="000000" w:themeColor="text1"/>
                <w:sz w:val="22"/>
                <w:szCs w:val="22"/>
              </w:rPr>
            </w:pPr>
            <w:r w:rsidRPr="00BC09B2">
              <w:rPr>
                <w:rFonts w:asciiTheme="minorHAnsi" w:hAnsiTheme="minorHAnsi" w:cstheme="minorHAnsi"/>
                <w:i/>
                <w:color w:val="000000" w:themeColor="text1"/>
                <w:sz w:val="22"/>
                <w:szCs w:val="22"/>
              </w:rPr>
              <w:t>7621.32</w:t>
            </w:r>
          </w:p>
        </w:tc>
      </w:tr>
      <w:tr w:rsidR="00BC09B2" w:rsidRPr="00BF389E" w14:paraId="33C7331E" w14:textId="77777777" w:rsidTr="00170A5B">
        <w:trPr>
          <w:trHeight w:val="161"/>
        </w:trPr>
        <w:tc>
          <w:tcPr>
            <w:tcW w:w="271" w:type="pct"/>
          </w:tcPr>
          <w:p w14:paraId="07F4E011" w14:textId="77777777" w:rsidR="00BC09B2" w:rsidRPr="00BC09B2" w:rsidRDefault="00BC09B2" w:rsidP="00BC09B2">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p>
        </w:tc>
        <w:tc>
          <w:tcPr>
            <w:tcW w:w="2229" w:type="pct"/>
          </w:tcPr>
          <w:p w14:paraId="5844ABF0"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r w:rsidRPr="00BC09B2">
              <w:rPr>
                <w:rFonts w:asciiTheme="minorHAnsi" w:hAnsiTheme="minorHAnsi" w:cstheme="minorHAnsi"/>
                <w:color w:val="000000" w:themeColor="text1"/>
                <w:sz w:val="22"/>
                <w:szCs w:val="22"/>
                <w:lang w:eastAsia="en-US"/>
              </w:rPr>
              <w:t>2.daļa- Monitori, printeri un UPS</w:t>
            </w:r>
          </w:p>
        </w:tc>
        <w:tc>
          <w:tcPr>
            <w:tcW w:w="1438" w:type="pct"/>
          </w:tcPr>
          <w:p w14:paraId="5D850621" w14:textId="77777777" w:rsidR="00BC09B2" w:rsidRPr="00BC09B2" w:rsidRDefault="00BC09B2" w:rsidP="00BC09B2">
            <w:pPr>
              <w:widowControl w:val="0"/>
              <w:autoSpaceDE w:val="0"/>
              <w:autoSpaceDN w:val="0"/>
              <w:adjustRightInd w:val="0"/>
              <w:rPr>
                <w:rFonts w:asciiTheme="minorHAnsi" w:hAnsiTheme="minorHAnsi" w:cstheme="minorHAnsi"/>
                <w:i/>
                <w:color w:val="000000" w:themeColor="text1"/>
                <w:sz w:val="22"/>
                <w:szCs w:val="22"/>
              </w:rPr>
            </w:pPr>
            <w:r w:rsidRPr="00BC09B2">
              <w:rPr>
                <w:rFonts w:asciiTheme="minorHAnsi" w:hAnsiTheme="minorHAnsi" w:cstheme="minorHAnsi"/>
                <w:i/>
                <w:color w:val="000000" w:themeColor="text1"/>
                <w:sz w:val="22"/>
                <w:szCs w:val="22"/>
              </w:rPr>
              <w:t>SIA “</w:t>
            </w:r>
            <w:proofErr w:type="spellStart"/>
            <w:r w:rsidRPr="00BC09B2">
              <w:rPr>
                <w:rFonts w:asciiTheme="minorHAnsi" w:hAnsiTheme="minorHAnsi" w:cstheme="minorHAnsi"/>
                <w:i/>
                <w:color w:val="000000" w:themeColor="text1"/>
                <w:sz w:val="22"/>
                <w:szCs w:val="22"/>
              </w:rPr>
              <w:t>Telcom</w:t>
            </w:r>
            <w:proofErr w:type="spellEnd"/>
            <w:r w:rsidRPr="00BC09B2">
              <w:rPr>
                <w:rFonts w:asciiTheme="minorHAnsi" w:hAnsiTheme="minorHAnsi" w:cstheme="minorHAnsi"/>
                <w:i/>
                <w:color w:val="000000" w:themeColor="text1"/>
                <w:sz w:val="22"/>
                <w:szCs w:val="22"/>
              </w:rPr>
              <w:t>”</w:t>
            </w:r>
          </w:p>
        </w:tc>
        <w:tc>
          <w:tcPr>
            <w:tcW w:w="1062" w:type="pct"/>
          </w:tcPr>
          <w:p w14:paraId="53490810" w14:textId="77777777" w:rsidR="00BC09B2" w:rsidRPr="00BC09B2" w:rsidRDefault="00BC09B2" w:rsidP="00BC09B2">
            <w:pPr>
              <w:widowControl w:val="0"/>
              <w:autoSpaceDE w:val="0"/>
              <w:autoSpaceDN w:val="0"/>
              <w:adjustRightInd w:val="0"/>
              <w:ind w:left="512"/>
              <w:jc w:val="both"/>
              <w:rPr>
                <w:rFonts w:asciiTheme="minorHAnsi" w:hAnsiTheme="minorHAnsi" w:cstheme="minorHAnsi"/>
                <w:i/>
                <w:color w:val="000000" w:themeColor="text1"/>
                <w:sz w:val="22"/>
                <w:szCs w:val="22"/>
              </w:rPr>
            </w:pPr>
            <w:r w:rsidRPr="00BC09B2">
              <w:rPr>
                <w:rFonts w:asciiTheme="minorHAnsi" w:hAnsiTheme="minorHAnsi" w:cstheme="minorHAnsi"/>
                <w:i/>
                <w:color w:val="000000" w:themeColor="text1"/>
                <w:sz w:val="22"/>
                <w:szCs w:val="22"/>
              </w:rPr>
              <w:t>2250.81</w:t>
            </w:r>
          </w:p>
        </w:tc>
      </w:tr>
      <w:tr w:rsidR="00BC09B2" w:rsidRPr="00BF389E" w14:paraId="0A071F3B" w14:textId="77777777" w:rsidTr="00170A5B">
        <w:trPr>
          <w:trHeight w:val="161"/>
        </w:trPr>
        <w:tc>
          <w:tcPr>
            <w:tcW w:w="271" w:type="pct"/>
          </w:tcPr>
          <w:p w14:paraId="7C00CF8D" w14:textId="77777777" w:rsidR="00BC09B2" w:rsidRPr="00BC09B2" w:rsidRDefault="00BC09B2" w:rsidP="00BC09B2">
            <w:pPr>
              <w:widowControl w:val="0"/>
              <w:numPr>
                <w:ilvl w:val="0"/>
                <w:numId w:val="18"/>
              </w:numPr>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p>
        </w:tc>
        <w:tc>
          <w:tcPr>
            <w:tcW w:w="2229" w:type="pct"/>
          </w:tcPr>
          <w:p w14:paraId="46274344"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color w:val="000000" w:themeColor="text1"/>
                <w:sz w:val="22"/>
                <w:szCs w:val="22"/>
                <w:lang w:eastAsia="en-US"/>
              </w:rPr>
            </w:pPr>
            <w:r w:rsidRPr="00BC09B2">
              <w:rPr>
                <w:rFonts w:asciiTheme="minorHAnsi" w:hAnsiTheme="minorHAnsi" w:cstheme="minorHAnsi"/>
                <w:color w:val="000000" w:themeColor="text1"/>
                <w:sz w:val="22"/>
                <w:szCs w:val="22"/>
                <w:lang w:eastAsia="en-US"/>
              </w:rPr>
              <w:t>3.daļa - Monitors RTG kabineta vajadzībām</w:t>
            </w:r>
          </w:p>
        </w:tc>
        <w:tc>
          <w:tcPr>
            <w:tcW w:w="1438" w:type="pct"/>
          </w:tcPr>
          <w:p w14:paraId="6B4C6908" w14:textId="77777777" w:rsidR="00BC09B2" w:rsidRPr="00BC09B2" w:rsidRDefault="00BC09B2" w:rsidP="00BC09B2">
            <w:pPr>
              <w:widowControl w:val="0"/>
              <w:autoSpaceDE w:val="0"/>
              <w:autoSpaceDN w:val="0"/>
              <w:adjustRightInd w:val="0"/>
              <w:rPr>
                <w:rFonts w:asciiTheme="minorHAnsi" w:hAnsiTheme="minorHAnsi" w:cstheme="minorHAnsi"/>
                <w:i/>
                <w:color w:val="000000" w:themeColor="text1"/>
                <w:sz w:val="22"/>
                <w:szCs w:val="22"/>
              </w:rPr>
            </w:pPr>
            <w:r w:rsidRPr="00BC09B2">
              <w:rPr>
                <w:rFonts w:asciiTheme="minorHAnsi" w:hAnsiTheme="minorHAnsi" w:cstheme="minorHAnsi"/>
                <w:i/>
                <w:color w:val="000000" w:themeColor="text1"/>
                <w:sz w:val="22"/>
                <w:szCs w:val="22"/>
              </w:rPr>
              <w:t>SIA “</w:t>
            </w:r>
            <w:proofErr w:type="spellStart"/>
            <w:r w:rsidRPr="00BC09B2">
              <w:rPr>
                <w:rFonts w:asciiTheme="minorHAnsi" w:hAnsiTheme="minorHAnsi" w:cstheme="minorHAnsi"/>
                <w:i/>
                <w:color w:val="000000" w:themeColor="text1"/>
                <w:sz w:val="22"/>
                <w:szCs w:val="22"/>
              </w:rPr>
              <w:t>Telcom</w:t>
            </w:r>
            <w:proofErr w:type="spellEnd"/>
            <w:r w:rsidRPr="00BC09B2">
              <w:rPr>
                <w:rFonts w:asciiTheme="minorHAnsi" w:hAnsiTheme="minorHAnsi" w:cstheme="minorHAnsi"/>
                <w:i/>
                <w:color w:val="000000" w:themeColor="text1"/>
                <w:sz w:val="22"/>
                <w:szCs w:val="22"/>
              </w:rPr>
              <w:t>”</w:t>
            </w:r>
          </w:p>
        </w:tc>
        <w:tc>
          <w:tcPr>
            <w:tcW w:w="1062" w:type="pct"/>
          </w:tcPr>
          <w:p w14:paraId="6D66563C" w14:textId="77777777" w:rsidR="00BC09B2" w:rsidRPr="00BC09B2" w:rsidRDefault="00BC09B2" w:rsidP="00BC09B2">
            <w:pPr>
              <w:widowControl w:val="0"/>
              <w:autoSpaceDE w:val="0"/>
              <w:autoSpaceDN w:val="0"/>
              <w:adjustRightInd w:val="0"/>
              <w:ind w:left="512"/>
              <w:jc w:val="both"/>
              <w:rPr>
                <w:rFonts w:asciiTheme="minorHAnsi" w:hAnsiTheme="minorHAnsi" w:cstheme="minorHAnsi"/>
                <w:i/>
                <w:color w:val="000000" w:themeColor="text1"/>
                <w:sz w:val="22"/>
                <w:szCs w:val="22"/>
              </w:rPr>
            </w:pPr>
            <w:r w:rsidRPr="00BC09B2">
              <w:rPr>
                <w:rFonts w:asciiTheme="minorHAnsi" w:hAnsiTheme="minorHAnsi" w:cstheme="minorHAnsi"/>
                <w:i/>
                <w:color w:val="000000" w:themeColor="text1"/>
                <w:sz w:val="22"/>
                <w:szCs w:val="22"/>
              </w:rPr>
              <w:t>509.00</w:t>
            </w:r>
          </w:p>
        </w:tc>
      </w:tr>
      <w:tr w:rsidR="00BC09B2" w:rsidRPr="00BF389E" w14:paraId="2B5AFC4D" w14:textId="77777777" w:rsidTr="00170A5B">
        <w:trPr>
          <w:trHeight w:val="161"/>
        </w:trPr>
        <w:tc>
          <w:tcPr>
            <w:tcW w:w="271" w:type="pct"/>
          </w:tcPr>
          <w:p w14:paraId="4E45CF68" w14:textId="77777777" w:rsidR="00BC09B2" w:rsidRPr="00BC09B2" w:rsidRDefault="00BC09B2" w:rsidP="00BC09B2">
            <w:pPr>
              <w:widowControl w:val="0"/>
              <w:pBdr>
                <w:bar w:val="single" w:sz="4" w:color="auto"/>
              </w:pBdr>
              <w:autoSpaceDE w:val="0"/>
              <w:autoSpaceDN w:val="0"/>
              <w:adjustRightInd w:val="0"/>
              <w:spacing w:line="276" w:lineRule="auto"/>
              <w:ind w:left="142"/>
              <w:jc w:val="both"/>
              <w:rPr>
                <w:rFonts w:asciiTheme="minorHAnsi" w:hAnsiTheme="minorHAnsi" w:cstheme="minorHAnsi"/>
                <w:b/>
                <w:color w:val="000000" w:themeColor="text1"/>
                <w:sz w:val="22"/>
                <w:szCs w:val="22"/>
                <w:lang w:eastAsia="en-US"/>
              </w:rPr>
            </w:pPr>
          </w:p>
        </w:tc>
        <w:tc>
          <w:tcPr>
            <w:tcW w:w="2229" w:type="pct"/>
          </w:tcPr>
          <w:p w14:paraId="6732B2BA"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b/>
                <w:color w:val="000000" w:themeColor="text1"/>
                <w:sz w:val="22"/>
                <w:szCs w:val="22"/>
                <w:lang w:eastAsia="en-US"/>
              </w:rPr>
            </w:pPr>
          </w:p>
        </w:tc>
        <w:tc>
          <w:tcPr>
            <w:tcW w:w="1438" w:type="pct"/>
          </w:tcPr>
          <w:p w14:paraId="1EFF83A1" w14:textId="77777777" w:rsidR="00BC09B2" w:rsidRPr="00BC09B2" w:rsidRDefault="00BC09B2" w:rsidP="00BC09B2">
            <w:pPr>
              <w:widowControl w:val="0"/>
              <w:pBdr>
                <w:bar w:val="single" w:sz="4" w:color="auto"/>
              </w:pBdr>
              <w:autoSpaceDE w:val="0"/>
              <w:autoSpaceDN w:val="0"/>
              <w:adjustRightInd w:val="0"/>
              <w:spacing w:line="276" w:lineRule="auto"/>
              <w:jc w:val="both"/>
              <w:rPr>
                <w:rFonts w:asciiTheme="minorHAnsi" w:hAnsiTheme="minorHAnsi" w:cstheme="minorHAnsi"/>
                <w:b/>
                <w:color w:val="000000" w:themeColor="text1"/>
                <w:sz w:val="22"/>
                <w:szCs w:val="22"/>
                <w:lang w:eastAsia="en-US"/>
              </w:rPr>
            </w:pPr>
            <w:r w:rsidRPr="00BC09B2">
              <w:rPr>
                <w:rFonts w:asciiTheme="minorHAnsi" w:hAnsiTheme="minorHAnsi" w:cstheme="minorHAnsi"/>
                <w:b/>
                <w:color w:val="000000" w:themeColor="text1"/>
                <w:sz w:val="22"/>
                <w:szCs w:val="22"/>
                <w:lang w:eastAsia="en-US"/>
              </w:rPr>
              <w:t xml:space="preserve">Kopā: </w:t>
            </w:r>
          </w:p>
        </w:tc>
        <w:tc>
          <w:tcPr>
            <w:tcW w:w="1062" w:type="pct"/>
          </w:tcPr>
          <w:p w14:paraId="4B698D35" w14:textId="77777777" w:rsidR="00BC09B2" w:rsidRPr="00BC09B2" w:rsidRDefault="00BC09B2" w:rsidP="00BC09B2">
            <w:pPr>
              <w:widowControl w:val="0"/>
              <w:autoSpaceDE w:val="0"/>
              <w:autoSpaceDN w:val="0"/>
              <w:adjustRightInd w:val="0"/>
              <w:jc w:val="both"/>
              <w:rPr>
                <w:rFonts w:asciiTheme="minorHAnsi" w:hAnsiTheme="minorHAnsi" w:cstheme="minorHAnsi"/>
                <w:b/>
                <w:color w:val="000000" w:themeColor="text1"/>
                <w:sz w:val="22"/>
                <w:szCs w:val="22"/>
                <w:lang w:eastAsia="en-US"/>
              </w:rPr>
            </w:pPr>
            <w:r w:rsidRPr="00BC09B2">
              <w:rPr>
                <w:rFonts w:asciiTheme="minorHAnsi" w:hAnsiTheme="minorHAnsi" w:cstheme="minorHAnsi"/>
                <w:color w:val="000000" w:themeColor="text1"/>
                <w:sz w:val="22"/>
                <w:szCs w:val="22"/>
              </w:rPr>
              <w:t>10381.13</w:t>
            </w:r>
          </w:p>
        </w:tc>
      </w:tr>
    </w:tbl>
    <w:p w14:paraId="3DF652F5" w14:textId="77777777" w:rsidR="00C1216B" w:rsidRPr="00BF389E" w:rsidRDefault="00C1216B" w:rsidP="00C1216B">
      <w:pPr>
        <w:widowControl w:val="0"/>
        <w:tabs>
          <w:tab w:val="left" w:pos="284"/>
          <w:tab w:val="left" w:pos="426"/>
        </w:tabs>
        <w:autoSpaceDE w:val="0"/>
        <w:autoSpaceDN w:val="0"/>
        <w:adjustRightInd w:val="0"/>
        <w:spacing w:line="276" w:lineRule="auto"/>
        <w:contextualSpacing/>
        <w:jc w:val="both"/>
        <w:rPr>
          <w:rFonts w:ascii="Calibri" w:hAnsi="Calibri" w:cs="Calibri"/>
          <w:sz w:val="22"/>
          <w:szCs w:val="22"/>
        </w:rPr>
      </w:pPr>
    </w:p>
    <w:p w14:paraId="01813FA8" w14:textId="628B6BDF" w:rsidR="00AE45F5" w:rsidRPr="00BF389E"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Calibri"/>
          <w:b/>
          <w:sz w:val="22"/>
          <w:szCs w:val="22"/>
          <w:u w:val="single"/>
        </w:rPr>
      </w:pPr>
      <w:r w:rsidRPr="00BF389E">
        <w:rPr>
          <w:rFonts w:ascii="Calibri" w:hAnsi="Calibri" w:cs="Calibri"/>
          <w:b/>
          <w:sz w:val="22"/>
          <w:szCs w:val="22"/>
          <w:u w:val="single"/>
        </w:rPr>
        <w:t>Lēmuma pieņemšanas datums:</w:t>
      </w:r>
      <w:r w:rsidR="00BB14F6" w:rsidRPr="00BF389E">
        <w:rPr>
          <w:rFonts w:ascii="Calibri" w:hAnsi="Calibri" w:cs="Calibri"/>
          <w:b/>
          <w:sz w:val="22"/>
          <w:szCs w:val="22"/>
          <w:u w:val="single"/>
        </w:rPr>
        <w:t xml:space="preserve"> </w:t>
      </w:r>
      <w:r w:rsidR="00166D2B">
        <w:rPr>
          <w:rFonts w:ascii="Calibri" w:hAnsi="Calibri" w:cs="Calibri"/>
          <w:b/>
          <w:sz w:val="22"/>
          <w:szCs w:val="22"/>
          <w:u w:val="single"/>
        </w:rPr>
        <w:t>1</w:t>
      </w:r>
      <w:bookmarkStart w:id="0" w:name="_GoBack"/>
      <w:bookmarkEnd w:id="0"/>
      <w:r w:rsidR="009609CE" w:rsidRPr="00BF389E">
        <w:rPr>
          <w:rFonts w:ascii="Calibri" w:hAnsi="Calibri" w:cs="Calibri"/>
          <w:b/>
          <w:sz w:val="22"/>
          <w:szCs w:val="22"/>
          <w:u w:val="single"/>
        </w:rPr>
        <w:t>5</w:t>
      </w:r>
      <w:r w:rsidR="00AE45F5" w:rsidRPr="00BF389E">
        <w:rPr>
          <w:rFonts w:ascii="Calibri" w:hAnsi="Calibri" w:cs="Calibri"/>
          <w:b/>
          <w:sz w:val="22"/>
          <w:szCs w:val="22"/>
          <w:u w:val="single"/>
        </w:rPr>
        <w:t>.09.2017.</w:t>
      </w:r>
    </w:p>
    <w:p w14:paraId="4439E0B0" w14:textId="77777777" w:rsidR="00BB14F6" w:rsidRPr="00BF389E"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Calibri"/>
          <w:sz w:val="22"/>
          <w:szCs w:val="22"/>
          <w:lang w:eastAsia="en-US"/>
        </w:rPr>
      </w:pPr>
      <w:r w:rsidRPr="00BF389E">
        <w:rPr>
          <w:rFonts w:ascii="Calibri" w:eastAsia="Calibri" w:hAnsi="Calibri" w:cs="Calibri"/>
          <w:sz w:val="22"/>
          <w:szCs w:val="22"/>
          <w:lang w:eastAsia="en-US"/>
        </w:rPr>
        <w:t xml:space="preserve"> </w:t>
      </w:r>
      <w:r w:rsidRPr="00BF389E">
        <w:rPr>
          <w:rFonts w:ascii="Calibri" w:eastAsia="Calibri" w:hAnsi="Calibri" w:cs="Calibri"/>
          <w:b/>
          <w:sz w:val="22"/>
          <w:szCs w:val="22"/>
          <w:u w:val="single"/>
          <w:lang w:eastAsia="en-US"/>
        </w:rPr>
        <w:t>Cita informācija:</w:t>
      </w:r>
    </w:p>
    <w:p w14:paraId="3B13A8B1" w14:textId="087E3733" w:rsidR="00DA3574" w:rsidRPr="00BF389E" w:rsidRDefault="00DB5AF4" w:rsidP="00755874">
      <w:pPr>
        <w:pStyle w:val="ListParagraph"/>
        <w:numPr>
          <w:ilvl w:val="1"/>
          <w:numId w:val="11"/>
        </w:numPr>
        <w:tabs>
          <w:tab w:val="left" w:pos="18"/>
          <w:tab w:val="left" w:pos="284"/>
          <w:tab w:val="left" w:pos="426"/>
        </w:tabs>
        <w:spacing w:before="120" w:after="120" w:line="276" w:lineRule="auto"/>
        <w:jc w:val="both"/>
        <w:rPr>
          <w:rFonts w:ascii="Calibri" w:eastAsia="Calibri" w:hAnsi="Calibri" w:cs="Calibri"/>
          <w:sz w:val="22"/>
          <w:szCs w:val="22"/>
          <w:lang w:eastAsia="en-US"/>
        </w:rPr>
      </w:pPr>
      <w:r w:rsidRPr="00BF389E">
        <w:rPr>
          <w:rFonts w:ascii="Calibri" w:eastAsia="Calibri" w:hAnsi="Calibri" w:cs="Calibri"/>
          <w:sz w:val="22"/>
          <w:szCs w:val="22"/>
          <w:lang w:eastAsia="en-US"/>
        </w:rPr>
        <w:t xml:space="preserve">Pretendents, kurš iesniedzis piedāvājumu iepirkumā, uz ko attiecas </w:t>
      </w:r>
      <w:r w:rsidR="00107A11" w:rsidRPr="00BF389E">
        <w:rPr>
          <w:rFonts w:ascii="Calibri" w:eastAsia="Calibri" w:hAnsi="Calibri" w:cs="Calibri"/>
          <w:sz w:val="22"/>
          <w:szCs w:val="22"/>
          <w:lang w:eastAsia="en-US"/>
        </w:rPr>
        <w:t xml:space="preserve">Publisko iepirkumu likuma 9. panta </w:t>
      </w:r>
      <w:r w:rsidRPr="00BF389E">
        <w:rPr>
          <w:rFonts w:ascii="Calibri" w:eastAsia="Calibri" w:hAnsi="Calibri" w:cs="Calibr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755D405" w14:textId="77777777" w:rsidR="00107A11" w:rsidRPr="00BF389E" w:rsidRDefault="00107A11" w:rsidP="00C1216B">
      <w:pPr>
        <w:tabs>
          <w:tab w:val="left" w:pos="18"/>
          <w:tab w:val="left" w:pos="284"/>
          <w:tab w:val="left" w:pos="426"/>
        </w:tabs>
        <w:spacing w:before="120" w:after="120" w:line="276" w:lineRule="auto"/>
        <w:contextualSpacing/>
        <w:jc w:val="both"/>
        <w:rPr>
          <w:rFonts w:ascii="Calibri" w:eastAsia="Calibri" w:hAnsi="Calibri" w:cs="Calibri"/>
          <w:sz w:val="22"/>
          <w:szCs w:val="22"/>
          <w:lang w:eastAsia="en-US"/>
        </w:rPr>
      </w:pPr>
    </w:p>
    <w:p w14:paraId="06975484" w14:textId="77777777" w:rsidR="00264306" w:rsidRPr="00BF389E" w:rsidRDefault="00264306" w:rsidP="00C1216B">
      <w:pPr>
        <w:tabs>
          <w:tab w:val="left" w:pos="18"/>
          <w:tab w:val="left" w:pos="284"/>
          <w:tab w:val="left" w:pos="426"/>
        </w:tabs>
        <w:spacing w:before="120" w:after="120" w:line="276" w:lineRule="auto"/>
        <w:contextualSpacing/>
        <w:jc w:val="both"/>
        <w:rPr>
          <w:rFonts w:ascii="Calibri" w:eastAsia="Calibri" w:hAnsi="Calibri" w:cs="Calibri"/>
          <w:sz w:val="22"/>
          <w:szCs w:val="22"/>
          <w:lang w:eastAsia="en-US"/>
        </w:rPr>
      </w:pPr>
    </w:p>
    <w:p w14:paraId="76920FD6" w14:textId="77777777" w:rsidR="00264306" w:rsidRPr="00BF389E" w:rsidRDefault="00264306" w:rsidP="00C1216B">
      <w:pPr>
        <w:tabs>
          <w:tab w:val="left" w:pos="18"/>
          <w:tab w:val="left" w:pos="284"/>
          <w:tab w:val="left" w:pos="426"/>
        </w:tabs>
        <w:spacing w:before="120" w:after="120" w:line="276" w:lineRule="auto"/>
        <w:contextualSpacing/>
        <w:jc w:val="both"/>
        <w:rPr>
          <w:rFonts w:ascii="Calibri" w:eastAsia="Calibri" w:hAnsi="Calibri" w:cs="Calibri"/>
          <w:sz w:val="22"/>
          <w:szCs w:val="22"/>
          <w:lang w:eastAsia="en-US"/>
        </w:rPr>
      </w:pPr>
    </w:p>
    <w:sectPr w:rsidR="00264306" w:rsidRPr="00BF389E"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EC52" w14:textId="77777777" w:rsidR="00964C5E" w:rsidRDefault="00964C5E">
      <w:r>
        <w:separator/>
      </w:r>
    </w:p>
  </w:endnote>
  <w:endnote w:type="continuationSeparator" w:id="0">
    <w:p w14:paraId="1F49F4FE" w14:textId="77777777" w:rsidR="00964C5E" w:rsidRDefault="0096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166D2B">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4AD8F" w14:textId="77777777" w:rsidR="00964C5E" w:rsidRDefault="00964C5E">
      <w:r>
        <w:separator/>
      </w:r>
    </w:p>
  </w:footnote>
  <w:footnote w:type="continuationSeparator" w:id="0">
    <w:p w14:paraId="7922825D" w14:textId="77777777" w:rsidR="00964C5E" w:rsidRDefault="00964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6"/>
  </w:num>
  <w:num w:numId="8">
    <w:abstractNumId w:val="3"/>
  </w:num>
  <w:num w:numId="9">
    <w:abstractNumId w:val="17"/>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51F4"/>
    <w:rsid w:val="00073F78"/>
    <w:rsid w:val="000A7ED1"/>
    <w:rsid w:val="000B015C"/>
    <w:rsid w:val="000B0511"/>
    <w:rsid w:val="00107A11"/>
    <w:rsid w:val="001121F6"/>
    <w:rsid w:val="001136EF"/>
    <w:rsid w:val="00154ABB"/>
    <w:rsid w:val="0016406E"/>
    <w:rsid w:val="00166D2B"/>
    <w:rsid w:val="001676CC"/>
    <w:rsid w:val="0018488A"/>
    <w:rsid w:val="001A3D5B"/>
    <w:rsid w:val="001D205B"/>
    <w:rsid w:val="001D36FF"/>
    <w:rsid w:val="001E0D56"/>
    <w:rsid w:val="001E3CA3"/>
    <w:rsid w:val="001F664D"/>
    <w:rsid w:val="00210273"/>
    <w:rsid w:val="00212A8B"/>
    <w:rsid w:val="00214B41"/>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31D3"/>
    <w:rsid w:val="00357BE6"/>
    <w:rsid w:val="00377302"/>
    <w:rsid w:val="003830EA"/>
    <w:rsid w:val="003A0CD7"/>
    <w:rsid w:val="003B266F"/>
    <w:rsid w:val="003D6198"/>
    <w:rsid w:val="003D775C"/>
    <w:rsid w:val="004226B2"/>
    <w:rsid w:val="00446F61"/>
    <w:rsid w:val="004505DE"/>
    <w:rsid w:val="00451444"/>
    <w:rsid w:val="004677A3"/>
    <w:rsid w:val="0047381A"/>
    <w:rsid w:val="00486261"/>
    <w:rsid w:val="004E043D"/>
    <w:rsid w:val="00507B77"/>
    <w:rsid w:val="00523801"/>
    <w:rsid w:val="00576A3B"/>
    <w:rsid w:val="00577338"/>
    <w:rsid w:val="0058511B"/>
    <w:rsid w:val="005A64F5"/>
    <w:rsid w:val="005B61AE"/>
    <w:rsid w:val="005D64E1"/>
    <w:rsid w:val="005E1C34"/>
    <w:rsid w:val="005E7189"/>
    <w:rsid w:val="005F6DFA"/>
    <w:rsid w:val="006002FE"/>
    <w:rsid w:val="00611D20"/>
    <w:rsid w:val="00612821"/>
    <w:rsid w:val="00624D7C"/>
    <w:rsid w:val="00627E49"/>
    <w:rsid w:val="006521E6"/>
    <w:rsid w:val="006E33CB"/>
    <w:rsid w:val="007031F4"/>
    <w:rsid w:val="0071259F"/>
    <w:rsid w:val="00713179"/>
    <w:rsid w:val="00753665"/>
    <w:rsid w:val="00755874"/>
    <w:rsid w:val="0078343F"/>
    <w:rsid w:val="007A076C"/>
    <w:rsid w:val="007A2D46"/>
    <w:rsid w:val="007B42FF"/>
    <w:rsid w:val="007B50AC"/>
    <w:rsid w:val="007B6F34"/>
    <w:rsid w:val="007D7665"/>
    <w:rsid w:val="007F585D"/>
    <w:rsid w:val="00815AA0"/>
    <w:rsid w:val="00823174"/>
    <w:rsid w:val="00824A27"/>
    <w:rsid w:val="008277B9"/>
    <w:rsid w:val="008357D6"/>
    <w:rsid w:val="00860037"/>
    <w:rsid w:val="008764B4"/>
    <w:rsid w:val="0089459D"/>
    <w:rsid w:val="008962B8"/>
    <w:rsid w:val="00896AF4"/>
    <w:rsid w:val="008A284A"/>
    <w:rsid w:val="008B0781"/>
    <w:rsid w:val="008F5E65"/>
    <w:rsid w:val="009179F5"/>
    <w:rsid w:val="00946AA3"/>
    <w:rsid w:val="009609CE"/>
    <w:rsid w:val="0096323B"/>
    <w:rsid w:val="00964C5E"/>
    <w:rsid w:val="00975EF2"/>
    <w:rsid w:val="009A3075"/>
    <w:rsid w:val="009D77FD"/>
    <w:rsid w:val="009E0AFF"/>
    <w:rsid w:val="00A17C16"/>
    <w:rsid w:val="00A348E0"/>
    <w:rsid w:val="00A35519"/>
    <w:rsid w:val="00A36CAB"/>
    <w:rsid w:val="00A522AE"/>
    <w:rsid w:val="00A67BD5"/>
    <w:rsid w:val="00AC30B5"/>
    <w:rsid w:val="00AD0FFA"/>
    <w:rsid w:val="00AE45F5"/>
    <w:rsid w:val="00B3256B"/>
    <w:rsid w:val="00B3470C"/>
    <w:rsid w:val="00B356A2"/>
    <w:rsid w:val="00B8388E"/>
    <w:rsid w:val="00B84F68"/>
    <w:rsid w:val="00BB14F6"/>
    <w:rsid w:val="00BB3031"/>
    <w:rsid w:val="00BC09B2"/>
    <w:rsid w:val="00BD47F3"/>
    <w:rsid w:val="00BF389E"/>
    <w:rsid w:val="00C1216B"/>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E38DC"/>
    <w:rsid w:val="00EE42AA"/>
    <w:rsid w:val="00EF41C1"/>
    <w:rsid w:val="00EF7E73"/>
    <w:rsid w:val="00F15E0B"/>
    <w:rsid w:val="00F4552B"/>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E620-E6C4-4903-8A5C-5C8BBD75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2017-06-14T06:04:00Z</cp:lastPrinted>
  <dcterms:created xsi:type="dcterms:W3CDTF">2017-09-15T08:47:00Z</dcterms:created>
  <dcterms:modified xsi:type="dcterms:W3CDTF">2017-09-15T08:49:00Z</dcterms:modified>
</cp:coreProperties>
</file>