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A8EEE" w14:textId="77777777" w:rsidR="00DA3574" w:rsidRPr="005A64F5" w:rsidRDefault="00DA3574" w:rsidP="00DA3574">
      <w:pPr>
        <w:pStyle w:val="BodyText3"/>
        <w:jc w:val="left"/>
        <w:rPr>
          <w:rFonts w:asciiTheme="minorHAnsi" w:eastAsia="Calibri" w:hAnsiTheme="minorHAnsi" w:cstheme="minorHAnsi"/>
          <w:b w:val="0"/>
          <w:sz w:val="22"/>
          <w:szCs w:val="22"/>
        </w:rPr>
      </w:pPr>
    </w:p>
    <w:p w14:paraId="062A076C" w14:textId="77777777" w:rsidR="00DA3574" w:rsidRPr="005A64F5" w:rsidRDefault="00DA3574" w:rsidP="00DA3574">
      <w:pPr>
        <w:pStyle w:val="BodyText3"/>
        <w:jc w:val="left"/>
        <w:rPr>
          <w:rFonts w:asciiTheme="minorHAnsi" w:eastAsia="Calibri" w:hAnsiTheme="minorHAnsi" w:cstheme="minorHAnsi"/>
          <w:b w:val="0"/>
          <w:sz w:val="22"/>
          <w:szCs w:val="22"/>
        </w:rPr>
      </w:pPr>
    </w:p>
    <w:p w14:paraId="6D0E6DBD" w14:textId="77777777" w:rsidR="00DA3574" w:rsidRPr="005A64F5" w:rsidRDefault="00DA3574" w:rsidP="00DA3574">
      <w:pPr>
        <w:pStyle w:val="BodyText3"/>
        <w:jc w:val="left"/>
        <w:rPr>
          <w:rFonts w:asciiTheme="minorHAnsi" w:eastAsia="Calibri" w:hAnsiTheme="minorHAnsi" w:cstheme="minorHAnsi"/>
          <w:b w:val="0"/>
          <w:sz w:val="22"/>
          <w:szCs w:val="22"/>
        </w:rPr>
      </w:pPr>
    </w:p>
    <w:p w14:paraId="45D4FB21" w14:textId="77777777" w:rsidR="00DA3574" w:rsidRPr="005A64F5" w:rsidRDefault="00DA3574" w:rsidP="00DA3574">
      <w:pPr>
        <w:pStyle w:val="BodyText3"/>
        <w:jc w:val="left"/>
        <w:rPr>
          <w:rFonts w:asciiTheme="minorHAnsi" w:eastAsia="Calibri" w:hAnsiTheme="minorHAnsi" w:cstheme="minorHAnsi"/>
          <w:b w:val="0"/>
          <w:sz w:val="22"/>
          <w:szCs w:val="22"/>
        </w:rPr>
      </w:pPr>
    </w:p>
    <w:p w14:paraId="6B2F1373" w14:textId="77777777" w:rsidR="005D64E1" w:rsidRPr="005A64F5" w:rsidRDefault="005D64E1" w:rsidP="005D64E1">
      <w:pPr>
        <w:pStyle w:val="BodyText3"/>
        <w:jc w:val="right"/>
        <w:rPr>
          <w:rFonts w:asciiTheme="minorHAnsi" w:eastAsia="Calibri" w:hAnsiTheme="minorHAnsi" w:cstheme="minorHAnsi"/>
          <w:sz w:val="22"/>
          <w:szCs w:val="22"/>
        </w:rPr>
      </w:pPr>
    </w:p>
    <w:p w14:paraId="080A0EFA" w14:textId="77777777" w:rsidR="005D64E1" w:rsidRPr="005A64F5" w:rsidRDefault="005D64E1" w:rsidP="005D64E1">
      <w:pPr>
        <w:pStyle w:val="BodyText3"/>
        <w:jc w:val="right"/>
        <w:rPr>
          <w:rFonts w:asciiTheme="minorHAnsi" w:eastAsia="Calibri" w:hAnsiTheme="minorHAnsi" w:cstheme="minorHAnsi"/>
          <w:sz w:val="22"/>
          <w:szCs w:val="22"/>
        </w:rPr>
      </w:pPr>
    </w:p>
    <w:p w14:paraId="5D3E7B10" w14:textId="77777777" w:rsidR="003D775C" w:rsidRPr="005A64F5" w:rsidRDefault="003D775C" w:rsidP="005D64E1">
      <w:pPr>
        <w:pStyle w:val="BodyText3"/>
        <w:jc w:val="right"/>
        <w:rPr>
          <w:rFonts w:asciiTheme="minorHAnsi" w:eastAsia="Calibri" w:hAnsiTheme="minorHAnsi" w:cstheme="minorHAnsi"/>
          <w:sz w:val="22"/>
          <w:szCs w:val="22"/>
        </w:rPr>
      </w:pPr>
    </w:p>
    <w:p w14:paraId="1F98BD56" w14:textId="77777777" w:rsidR="00CC7CFE" w:rsidRPr="005A64F5" w:rsidRDefault="00CC7CFE" w:rsidP="00DA3574">
      <w:pPr>
        <w:pStyle w:val="BodyText3"/>
        <w:rPr>
          <w:rFonts w:asciiTheme="minorHAnsi" w:hAnsiTheme="minorHAnsi" w:cstheme="minorHAnsi"/>
          <w:sz w:val="22"/>
          <w:szCs w:val="22"/>
        </w:rPr>
      </w:pPr>
      <w:r w:rsidRPr="005A64F5">
        <w:rPr>
          <w:rFonts w:asciiTheme="minorHAnsi" w:hAnsiTheme="minorHAnsi" w:cstheme="minorHAnsi"/>
          <w:sz w:val="22"/>
          <w:szCs w:val="22"/>
        </w:rPr>
        <w:t xml:space="preserve">Paziņojums par lēmumu </w:t>
      </w:r>
    </w:p>
    <w:p w14:paraId="430757D7" w14:textId="77777777" w:rsidR="0076609B" w:rsidRPr="0076609B" w:rsidRDefault="0076609B" w:rsidP="0076609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76609B">
        <w:rPr>
          <w:rFonts w:asciiTheme="minorHAnsi" w:hAnsiTheme="minorHAnsi" w:cstheme="minorHAnsi"/>
          <w:sz w:val="22"/>
          <w:szCs w:val="22"/>
          <w:lang w:eastAsia="en-US"/>
        </w:rPr>
        <w:t>Publisko iepirkumu likuma 8.2 panta 16 daļas iepirkums</w:t>
      </w:r>
    </w:p>
    <w:p w14:paraId="291F46C0" w14:textId="3F9F9C78" w:rsidR="0076609B" w:rsidRDefault="0076609B" w:rsidP="0076609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76609B">
        <w:rPr>
          <w:rFonts w:asciiTheme="minorHAnsi" w:hAnsiTheme="minorHAnsi" w:cstheme="minorHAnsi"/>
          <w:sz w:val="22"/>
          <w:szCs w:val="22"/>
          <w:lang w:eastAsia="en-US"/>
        </w:rPr>
        <w:t>nepublicējot paziņojumu par līgumu( atbilstība 63.panta 1.daļas 2.punktam</w:t>
      </w:r>
      <w:r w:rsidRPr="0076609B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)</w:t>
      </w:r>
    </w:p>
    <w:p w14:paraId="01A8FAEA" w14:textId="2FEA03C6" w:rsidR="00EA43B9" w:rsidRPr="00EA43B9" w:rsidRDefault="00EA43B9" w:rsidP="0076609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EA43B9">
        <w:rPr>
          <w:b/>
          <w:bCs/>
          <w:color w:val="000000"/>
          <w:sz w:val="22"/>
          <w:szCs w:val="22"/>
        </w:rPr>
        <w:t>„Medicīnas uzskaites sistēmas „</w:t>
      </w:r>
      <w:proofErr w:type="spellStart"/>
      <w:r w:rsidRPr="00EA43B9">
        <w:rPr>
          <w:b/>
          <w:bCs/>
          <w:color w:val="000000"/>
          <w:sz w:val="22"/>
          <w:szCs w:val="22"/>
        </w:rPr>
        <w:t>Euromed</w:t>
      </w:r>
      <w:proofErr w:type="spellEnd"/>
      <w:r w:rsidRPr="00EA43B9">
        <w:rPr>
          <w:b/>
          <w:bCs/>
          <w:color w:val="000000"/>
          <w:sz w:val="22"/>
          <w:szCs w:val="22"/>
        </w:rPr>
        <w:t>” un grāmatvedības uzskaites sistēmas „</w:t>
      </w:r>
      <w:proofErr w:type="spellStart"/>
      <w:r w:rsidRPr="00EA43B9">
        <w:rPr>
          <w:b/>
          <w:bCs/>
          <w:color w:val="000000"/>
          <w:sz w:val="22"/>
          <w:szCs w:val="22"/>
        </w:rPr>
        <w:t>Shannon</w:t>
      </w:r>
      <w:proofErr w:type="spellEnd"/>
      <w:r w:rsidRPr="00EA43B9">
        <w:rPr>
          <w:b/>
          <w:bCs/>
          <w:color w:val="000000"/>
          <w:sz w:val="22"/>
          <w:szCs w:val="22"/>
        </w:rPr>
        <w:t xml:space="preserve"> -2000” uzturēšana un apkalpošana</w:t>
      </w:r>
      <w:r w:rsidRPr="00EA43B9">
        <w:rPr>
          <w:b/>
          <w:color w:val="000000"/>
          <w:sz w:val="22"/>
          <w:szCs w:val="22"/>
        </w:rPr>
        <w:t>”</w:t>
      </w:r>
    </w:p>
    <w:p w14:paraId="4AAE97C2" w14:textId="77777777" w:rsidR="00EA43B9" w:rsidRPr="00EA43B9" w:rsidRDefault="00EA43B9" w:rsidP="00EA43B9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r w:rsidRPr="00EA43B9">
        <w:rPr>
          <w:b/>
          <w:color w:val="000000"/>
          <w:sz w:val="22"/>
          <w:szCs w:val="22"/>
        </w:rPr>
        <w:t xml:space="preserve">   </w:t>
      </w:r>
      <w:r w:rsidRPr="00EA43B9">
        <w:rPr>
          <w:color w:val="000000"/>
          <w:sz w:val="22"/>
          <w:szCs w:val="22"/>
        </w:rPr>
        <w:t>ID Nr. SIAJS 2016/21</w:t>
      </w:r>
    </w:p>
    <w:p w14:paraId="0F2F5E33" w14:textId="77777777" w:rsidR="0071259F" w:rsidRPr="005A64F5" w:rsidRDefault="0071259F" w:rsidP="0071259F">
      <w:pPr>
        <w:tabs>
          <w:tab w:val="left" w:pos="426"/>
        </w:tabs>
        <w:spacing w:after="120"/>
        <w:ind w:left="108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49E4010E" w14:textId="7B604F78" w:rsidR="00CC7CFE" w:rsidRPr="005A64F5" w:rsidRDefault="00CC7CFE" w:rsidP="0071259F">
      <w:pPr>
        <w:pStyle w:val="ListParagraph"/>
        <w:numPr>
          <w:ilvl w:val="0"/>
          <w:numId w:val="11"/>
        </w:numPr>
        <w:tabs>
          <w:tab w:val="left" w:pos="426"/>
        </w:tabs>
        <w:spacing w:after="120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A64F5">
        <w:rPr>
          <w:rFonts w:asciiTheme="minorHAnsi" w:hAnsiTheme="minorHAnsi" w:cstheme="minorHAnsi"/>
          <w:b/>
          <w:sz w:val="22"/>
          <w:szCs w:val="22"/>
          <w:u w:val="single"/>
        </w:rPr>
        <w:t>Pretendentu nosaukumi un piedāvātās līgumcenas: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4314"/>
        <w:gridCol w:w="4314"/>
      </w:tblGrid>
      <w:tr w:rsidR="00A17C16" w:rsidRPr="005A64F5" w14:paraId="795346B1" w14:textId="77777777" w:rsidTr="00A17C16">
        <w:tc>
          <w:tcPr>
            <w:tcW w:w="728" w:type="pct"/>
            <w:vAlign w:val="center"/>
          </w:tcPr>
          <w:p w14:paraId="2C5B0A32" w14:textId="77777777" w:rsidR="00A17C16" w:rsidRPr="005A64F5" w:rsidRDefault="00A17C16" w:rsidP="00712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A64F5">
              <w:rPr>
                <w:rFonts w:asciiTheme="minorHAnsi" w:hAnsiTheme="minorHAnsi" w:cstheme="minorHAnsi"/>
                <w:b/>
                <w:sz w:val="22"/>
                <w:szCs w:val="22"/>
              </w:rPr>
              <w:t>Nr.p.k</w:t>
            </w:r>
            <w:proofErr w:type="spellEnd"/>
            <w:r w:rsidRPr="005A64F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136" w:type="pct"/>
            <w:vAlign w:val="center"/>
          </w:tcPr>
          <w:p w14:paraId="385C71C1" w14:textId="77777777" w:rsidR="00A17C16" w:rsidRPr="005A64F5" w:rsidRDefault="00A17C16" w:rsidP="00712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64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Iesniedzēja nosaukums</w:t>
            </w:r>
          </w:p>
        </w:tc>
        <w:tc>
          <w:tcPr>
            <w:tcW w:w="2136" w:type="pct"/>
          </w:tcPr>
          <w:p w14:paraId="4D84C3AB" w14:textId="77777777" w:rsidR="00A17C16" w:rsidRPr="005A64F5" w:rsidRDefault="00A17C16" w:rsidP="00712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A64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Piedāvātā līgumcena EUR, bez PVN</w:t>
            </w:r>
          </w:p>
        </w:tc>
      </w:tr>
      <w:tr w:rsidR="00A17C16" w:rsidRPr="005A64F5" w14:paraId="7711D279" w14:textId="77777777" w:rsidTr="00A17C16">
        <w:trPr>
          <w:trHeight w:val="511"/>
        </w:trPr>
        <w:tc>
          <w:tcPr>
            <w:tcW w:w="728" w:type="pct"/>
          </w:tcPr>
          <w:p w14:paraId="0ACBF0C3" w14:textId="77777777" w:rsidR="00A17C16" w:rsidRPr="005A64F5" w:rsidRDefault="00A17C16" w:rsidP="0071259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6" w:type="pct"/>
          </w:tcPr>
          <w:p w14:paraId="3EDF89DF" w14:textId="68EA4A11" w:rsidR="00A17C16" w:rsidRPr="005A64F5" w:rsidRDefault="00EA43B9" w:rsidP="00712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3B9">
              <w:rPr>
                <w:rFonts w:asciiTheme="minorHAnsi" w:hAnsiTheme="minorHAnsi" w:cstheme="minorHAnsi"/>
                <w:sz w:val="22"/>
                <w:szCs w:val="22"/>
              </w:rPr>
              <w:t>SIA SHANNON</w:t>
            </w:r>
          </w:p>
        </w:tc>
        <w:tc>
          <w:tcPr>
            <w:tcW w:w="2136" w:type="pct"/>
          </w:tcPr>
          <w:p w14:paraId="20B912C5" w14:textId="3A067BCD" w:rsidR="00A17C16" w:rsidRPr="005A64F5" w:rsidRDefault="00EA43B9" w:rsidP="00712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14 700</w:t>
            </w:r>
          </w:p>
        </w:tc>
      </w:tr>
    </w:tbl>
    <w:p w14:paraId="2A466CC7" w14:textId="1FD58741" w:rsidR="00507B77" w:rsidRPr="005A64F5" w:rsidRDefault="00CC7CFE" w:rsidP="0071259F">
      <w:pPr>
        <w:pStyle w:val="ListParagraph"/>
        <w:numPr>
          <w:ilvl w:val="0"/>
          <w:numId w:val="10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A64F5">
        <w:rPr>
          <w:rFonts w:asciiTheme="minorHAnsi" w:hAnsiTheme="minorHAnsi" w:cstheme="minorHAnsi"/>
          <w:b/>
          <w:sz w:val="22"/>
          <w:szCs w:val="22"/>
          <w:u w:val="single"/>
        </w:rPr>
        <w:t xml:space="preserve">Noraidītie pretendenti un noraidīšanas iemesli: </w:t>
      </w:r>
      <w:r w:rsidR="00BB14F6" w:rsidRPr="005A64F5">
        <w:rPr>
          <w:rFonts w:asciiTheme="minorHAnsi" w:hAnsiTheme="minorHAnsi" w:cstheme="minorHAnsi"/>
          <w:sz w:val="22"/>
          <w:szCs w:val="22"/>
        </w:rPr>
        <w:t>nav tāda.</w:t>
      </w:r>
    </w:p>
    <w:p w14:paraId="7C86F8BC" w14:textId="1544B23B" w:rsidR="00CC7CFE" w:rsidRPr="005A64F5" w:rsidRDefault="00CC7CFE" w:rsidP="0071259F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A64F5">
        <w:rPr>
          <w:rFonts w:asciiTheme="minorHAnsi" w:hAnsiTheme="minorHAnsi" w:cstheme="minorHAnsi"/>
          <w:b/>
          <w:sz w:val="22"/>
          <w:szCs w:val="22"/>
          <w:u w:val="single"/>
        </w:rPr>
        <w:t xml:space="preserve">Piedāvājuma izvēles un vērtēšanas kritēriji: </w:t>
      </w:r>
      <w:r w:rsidR="00523801" w:rsidRPr="005A64F5">
        <w:rPr>
          <w:rFonts w:asciiTheme="minorHAnsi" w:hAnsiTheme="minorHAnsi" w:cstheme="minorHAnsi"/>
          <w:sz w:val="22"/>
          <w:szCs w:val="22"/>
        </w:rPr>
        <w:t>Piedāvājums, kas ir ar viszemāko cenu un kas pilnībā atbilst izvirzītajām prasībām.</w:t>
      </w:r>
    </w:p>
    <w:p w14:paraId="206ED118" w14:textId="77777777" w:rsidR="00CB365A" w:rsidRPr="005A64F5" w:rsidRDefault="00CC7CFE" w:rsidP="0071259F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64F5">
        <w:rPr>
          <w:rFonts w:asciiTheme="minorHAnsi" w:hAnsiTheme="minorHAnsi" w:cstheme="minorHAnsi"/>
          <w:b/>
          <w:sz w:val="22"/>
          <w:szCs w:val="22"/>
          <w:u w:val="single"/>
        </w:rPr>
        <w:t>Pretendenta nosaukums, ar kuru nolemts slēgt iepirkuma līgumu un pamatojums</w:t>
      </w:r>
    </w:p>
    <w:p w14:paraId="60B77FFD" w14:textId="3BDBB99A" w:rsidR="00DE6B89" w:rsidRPr="005A64F5" w:rsidRDefault="00CC7CFE" w:rsidP="0071259F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A64F5">
        <w:rPr>
          <w:rFonts w:asciiTheme="minorHAnsi" w:hAnsiTheme="minorHAnsi" w:cstheme="minorHAnsi"/>
          <w:b/>
          <w:sz w:val="22"/>
          <w:szCs w:val="22"/>
          <w:u w:val="single"/>
        </w:rPr>
        <w:t xml:space="preserve"> piedāvājuma izvēlei:</w:t>
      </w:r>
      <w:r w:rsidR="007B42FF" w:rsidRPr="005A64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06B3C" w:rsidRPr="005A64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A43B9" w:rsidRPr="00EA43B9">
        <w:rPr>
          <w:rFonts w:asciiTheme="minorHAnsi" w:hAnsiTheme="minorHAnsi" w:cstheme="minorHAnsi"/>
          <w:sz w:val="22"/>
          <w:szCs w:val="22"/>
        </w:rPr>
        <w:t xml:space="preserve">SIA SHANNON </w:t>
      </w:r>
      <w:r w:rsidR="00E37759" w:rsidRPr="005A64F5">
        <w:rPr>
          <w:rFonts w:asciiTheme="minorHAnsi" w:hAnsiTheme="minorHAnsi" w:cstheme="minorHAnsi"/>
          <w:sz w:val="22"/>
          <w:szCs w:val="22"/>
        </w:rPr>
        <w:t>iesniegtais piedāvājums tika atzīts par atbilstošu visām izvirzītajām prasībām un ir ar viszemāko cenu</w:t>
      </w:r>
      <w:r w:rsidR="007B42FF" w:rsidRPr="005A64F5">
        <w:rPr>
          <w:rFonts w:asciiTheme="minorHAnsi" w:hAnsiTheme="minorHAnsi" w:cstheme="minorHAnsi"/>
          <w:sz w:val="22"/>
          <w:szCs w:val="22"/>
        </w:rPr>
        <w:t xml:space="preserve"> </w:t>
      </w:r>
      <w:r w:rsidR="00EA43B9" w:rsidRPr="00EA43B9">
        <w:rPr>
          <w:rFonts w:asciiTheme="minorHAnsi" w:hAnsiTheme="minorHAnsi" w:cstheme="minorHAnsi"/>
          <w:sz w:val="22"/>
          <w:szCs w:val="22"/>
        </w:rPr>
        <w:t>14</w:t>
      </w:r>
      <w:r w:rsidR="00EA43B9">
        <w:rPr>
          <w:rFonts w:asciiTheme="minorHAnsi" w:hAnsiTheme="minorHAnsi" w:cstheme="minorHAnsi"/>
          <w:sz w:val="22"/>
          <w:szCs w:val="22"/>
        </w:rPr>
        <w:t> </w:t>
      </w:r>
      <w:r w:rsidR="00EA43B9" w:rsidRPr="00EA43B9">
        <w:rPr>
          <w:rFonts w:asciiTheme="minorHAnsi" w:hAnsiTheme="minorHAnsi" w:cstheme="minorHAnsi"/>
          <w:sz w:val="22"/>
          <w:szCs w:val="22"/>
        </w:rPr>
        <w:t>700</w:t>
      </w:r>
      <w:r w:rsidR="00EA43B9">
        <w:rPr>
          <w:rFonts w:asciiTheme="minorHAnsi" w:hAnsiTheme="minorHAnsi" w:cstheme="minorHAnsi"/>
          <w:sz w:val="22"/>
          <w:szCs w:val="22"/>
        </w:rPr>
        <w:t xml:space="preserve"> </w:t>
      </w:r>
      <w:r w:rsidR="00BB14F6" w:rsidRPr="005A64F5">
        <w:rPr>
          <w:rFonts w:asciiTheme="minorHAnsi" w:hAnsiTheme="minorHAnsi" w:cstheme="minorHAnsi"/>
          <w:sz w:val="22"/>
          <w:szCs w:val="22"/>
        </w:rPr>
        <w:t>EUR bez PVN</w:t>
      </w:r>
      <w:r w:rsidR="00E37759" w:rsidRPr="005A64F5">
        <w:rPr>
          <w:rFonts w:asciiTheme="minorHAnsi" w:hAnsiTheme="minorHAnsi" w:cstheme="minorHAnsi"/>
          <w:sz w:val="22"/>
          <w:szCs w:val="22"/>
        </w:rPr>
        <w:t>.</w:t>
      </w:r>
      <w:r w:rsidR="00CB365A" w:rsidRPr="005A64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6E2115" w14:textId="07602EA6" w:rsidR="003A0CD7" w:rsidRPr="005A64F5" w:rsidRDefault="00DA3574" w:rsidP="0071259F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0" w:firstLine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4F5">
        <w:rPr>
          <w:rFonts w:asciiTheme="minorHAnsi" w:hAnsiTheme="minorHAnsi" w:cstheme="minorHAnsi"/>
          <w:b/>
          <w:sz w:val="22"/>
          <w:szCs w:val="22"/>
          <w:u w:val="single"/>
        </w:rPr>
        <w:t>Lēmuma pieņemšanas datums:</w:t>
      </w:r>
      <w:r w:rsidR="00BB14F6" w:rsidRPr="005A64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A43B9">
        <w:rPr>
          <w:rFonts w:asciiTheme="minorHAnsi" w:hAnsiTheme="minorHAnsi" w:cstheme="minorHAnsi"/>
          <w:b/>
          <w:sz w:val="22"/>
          <w:szCs w:val="22"/>
          <w:u w:val="single"/>
        </w:rPr>
        <w:t>21.09.2016</w:t>
      </w:r>
    </w:p>
    <w:p w14:paraId="4439E0B0" w14:textId="37C56CFD" w:rsidR="00BB14F6" w:rsidRPr="005A64F5" w:rsidRDefault="00CB365A" w:rsidP="0071259F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0" w:firstLine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64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6609B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Pamatojums</w:t>
      </w:r>
      <w:r w:rsidRPr="005A64F5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:</w:t>
      </w:r>
    </w:p>
    <w:p w14:paraId="72BBC9B2" w14:textId="389761D7" w:rsidR="007B50AC" w:rsidRPr="007B50AC" w:rsidRDefault="0076609B" w:rsidP="007B50A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6609B">
        <w:rPr>
          <w:rFonts w:asciiTheme="minorHAnsi" w:hAnsiTheme="minorHAnsi" w:cstheme="minorHAnsi"/>
          <w:sz w:val="22"/>
          <w:szCs w:val="22"/>
          <w:lang w:eastAsia="ar-SA"/>
        </w:rPr>
        <w:t>Iepirkums tiek veikts nepublicējot paziņojumu par plānoto līgumu atbilstoši Publisko iepirkuma likuma 8</w:t>
      </w:r>
      <w:r w:rsidRPr="00E91771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2</w:t>
      </w:r>
      <w:r w:rsidRPr="0076609B">
        <w:rPr>
          <w:rFonts w:asciiTheme="minorHAnsi" w:hAnsiTheme="minorHAnsi" w:cstheme="minorHAnsi"/>
          <w:sz w:val="22"/>
          <w:szCs w:val="22"/>
          <w:lang w:eastAsia="ar-SA"/>
        </w:rPr>
        <w:t xml:space="preserve"> panta 16. daļai, jo iepirkums atbilst Publisko iepirkumu likuma 63.panta pirmās daļas  2.punkta nosacījumiem, proti: tehnisku iemeslu dēļ un tādu iemeslu dēļ, kuri saistīti ar izņēmuma tiesību aizsardzību, līgumu var noslēgt </w:t>
      </w:r>
      <w:r>
        <w:rPr>
          <w:rFonts w:asciiTheme="minorHAnsi" w:hAnsiTheme="minorHAnsi" w:cstheme="minorHAnsi"/>
          <w:sz w:val="22"/>
          <w:szCs w:val="22"/>
          <w:lang w:eastAsia="ar-SA"/>
        </w:rPr>
        <w:t>tikai ar konkrētu piegādātāju. Š</w:t>
      </w:r>
      <w:r w:rsidRPr="0076609B">
        <w:rPr>
          <w:rFonts w:asciiTheme="minorHAnsi" w:hAnsiTheme="minorHAnsi" w:cstheme="minorHAnsi"/>
          <w:sz w:val="22"/>
          <w:szCs w:val="22"/>
          <w:lang w:eastAsia="ar-SA"/>
        </w:rPr>
        <w:t xml:space="preserve">īs izņēmuma tiesības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pieder </w:t>
      </w:r>
      <w:r w:rsidRPr="0076609B">
        <w:rPr>
          <w:rFonts w:asciiTheme="minorHAnsi" w:hAnsiTheme="minorHAnsi" w:cstheme="minorHAnsi"/>
          <w:sz w:val="22"/>
          <w:szCs w:val="22"/>
          <w:lang w:eastAsia="ar-SA"/>
        </w:rPr>
        <w:t xml:space="preserve"> SIA “</w:t>
      </w:r>
      <w:proofErr w:type="spellStart"/>
      <w:r w:rsidRPr="0076609B">
        <w:rPr>
          <w:rFonts w:asciiTheme="minorHAnsi" w:hAnsiTheme="minorHAnsi" w:cstheme="minorHAnsi"/>
          <w:sz w:val="22"/>
          <w:szCs w:val="22"/>
          <w:lang w:eastAsia="ar-SA"/>
        </w:rPr>
        <w:t>Shannon</w:t>
      </w:r>
      <w:proofErr w:type="spellEnd"/>
      <w:r w:rsidRPr="0076609B">
        <w:rPr>
          <w:rFonts w:asciiTheme="minorHAnsi" w:hAnsiTheme="minorHAnsi" w:cstheme="minorHAnsi"/>
          <w:sz w:val="22"/>
          <w:szCs w:val="22"/>
          <w:lang w:eastAsia="ar-SA"/>
        </w:rPr>
        <w:t>”, reģ.nr.40102030434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  <w:r w:rsidRPr="0076609B">
        <w:rPr>
          <w:rFonts w:asciiTheme="minorHAnsi" w:hAnsiTheme="minorHAnsi" w:cstheme="minorHAnsi"/>
          <w:sz w:val="22"/>
          <w:szCs w:val="22"/>
          <w:lang w:eastAsia="ar-SA"/>
        </w:rPr>
        <w:t xml:space="preserve">Turklāt, Jūrmalas slimnīcai kā sistēmu lietotājam nav tiesību modificēt, sadalīt, pārkompilēt, </w:t>
      </w:r>
      <w:proofErr w:type="spellStart"/>
      <w:r w:rsidRPr="0076609B">
        <w:rPr>
          <w:rFonts w:asciiTheme="minorHAnsi" w:hAnsiTheme="minorHAnsi" w:cstheme="minorHAnsi"/>
          <w:sz w:val="22"/>
          <w:szCs w:val="22"/>
          <w:lang w:eastAsia="ar-SA"/>
        </w:rPr>
        <w:t>rekompilēt</w:t>
      </w:r>
      <w:proofErr w:type="spellEnd"/>
      <w:r w:rsidRPr="0076609B">
        <w:rPr>
          <w:rFonts w:asciiTheme="minorHAnsi" w:hAnsiTheme="minorHAnsi" w:cstheme="minorHAnsi"/>
          <w:sz w:val="22"/>
          <w:szCs w:val="22"/>
          <w:lang w:eastAsia="ar-SA"/>
        </w:rPr>
        <w:t xml:space="preserve"> vai reasamblēt uzskaites sistēmas, kā arī nodot trešajām personām datorprogrammu, dokumentāciju vai citus materiālus.</w:t>
      </w:r>
    </w:p>
    <w:p w14:paraId="3B13A8B1" w14:textId="77777777" w:rsidR="00DA3574" w:rsidRPr="005A64F5" w:rsidRDefault="00DA3574" w:rsidP="0071259F">
      <w:pPr>
        <w:tabs>
          <w:tab w:val="left" w:pos="18"/>
        </w:tabs>
        <w:spacing w:before="120" w:after="12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sectPr w:rsidR="00DA3574" w:rsidRPr="005A64F5" w:rsidSect="007B50AC">
      <w:footerReference w:type="default" r:id="rId9"/>
      <w:pgSz w:w="11907" w:h="16840" w:code="9"/>
      <w:pgMar w:top="1701" w:right="1134" w:bottom="851" w:left="890" w:header="709" w:footer="709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3FCD5" w14:textId="77777777" w:rsidR="00CB5792" w:rsidRDefault="00CB5792">
      <w:r>
        <w:separator/>
      </w:r>
    </w:p>
  </w:endnote>
  <w:endnote w:type="continuationSeparator" w:id="0">
    <w:p w14:paraId="4D62BF10" w14:textId="77777777" w:rsidR="00CB5792" w:rsidRDefault="00CB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C473A" w14:textId="77777777" w:rsidR="00AD2BB2" w:rsidRDefault="006E33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609B">
      <w:rPr>
        <w:noProof/>
      </w:rPr>
      <w:t>2</w:t>
    </w:r>
    <w:r>
      <w:fldChar w:fldCharType="end"/>
    </w:r>
  </w:p>
  <w:p w14:paraId="70C54679" w14:textId="77777777" w:rsidR="00AD2BB2" w:rsidRDefault="00CB5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608F7" w14:textId="77777777" w:rsidR="00CB5792" w:rsidRDefault="00CB5792">
      <w:r>
        <w:separator/>
      </w:r>
    </w:p>
  </w:footnote>
  <w:footnote w:type="continuationSeparator" w:id="0">
    <w:p w14:paraId="68660BC9" w14:textId="77777777" w:rsidR="00CB5792" w:rsidRDefault="00CB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362"/>
    <w:multiLevelType w:val="multilevel"/>
    <w:tmpl w:val="FFCE467E"/>
    <w:lvl w:ilvl="0">
      <w:start w:val="5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AE65CA"/>
    <w:multiLevelType w:val="hybridMultilevel"/>
    <w:tmpl w:val="25A23EAA"/>
    <w:lvl w:ilvl="0" w:tplc="6ADA99D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ED22590"/>
    <w:multiLevelType w:val="hybridMultilevel"/>
    <w:tmpl w:val="9D66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93C1F"/>
    <w:multiLevelType w:val="multilevel"/>
    <w:tmpl w:val="1D76A6D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A813FC2"/>
    <w:multiLevelType w:val="hybridMultilevel"/>
    <w:tmpl w:val="72BE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B563E"/>
    <w:multiLevelType w:val="hybridMultilevel"/>
    <w:tmpl w:val="9B547A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73BA0"/>
    <w:multiLevelType w:val="multilevel"/>
    <w:tmpl w:val="C0F88230"/>
    <w:styleLink w:val="Style17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8D576FA"/>
    <w:multiLevelType w:val="hybridMultilevel"/>
    <w:tmpl w:val="9A846518"/>
    <w:lvl w:ilvl="0" w:tplc="365A7D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77197"/>
    <w:multiLevelType w:val="hybridMultilevel"/>
    <w:tmpl w:val="19726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262DB3"/>
    <w:multiLevelType w:val="hybridMultilevel"/>
    <w:tmpl w:val="B996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F2589"/>
    <w:multiLevelType w:val="multilevel"/>
    <w:tmpl w:val="5DBC88C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Calibr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Calibr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Calibri" w:hAnsiTheme="minorHAnsi" w:cstheme="minorHAnsi" w:hint="default"/>
      </w:rPr>
    </w:lvl>
  </w:abstractNum>
  <w:abstractNum w:abstractNumId="11">
    <w:nsid w:val="73A2666F"/>
    <w:multiLevelType w:val="hybridMultilevel"/>
    <w:tmpl w:val="340C3BA6"/>
    <w:lvl w:ilvl="0" w:tplc="93CED9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E2AE0"/>
    <w:multiLevelType w:val="multilevel"/>
    <w:tmpl w:val="40EAB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11"/>
  </w:num>
  <w:num w:numId="8">
    <w:abstractNumId w:val="2"/>
  </w:num>
  <w:num w:numId="9">
    <w:abstractNumId w:val="12"/>
  </w:num>
  <w:num w:numId="10">
    <w:abstractNumId w:val="9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FE"/>
    <w:rsid w:val="00004D78"/>
    <w:rsid w:val="0001014D"/>
    <w:rsid w:val="00073F78"/>
    <w:rsid w:val="000A7ED1"/>
    <w:rsid w:val="000B015C"/>
    <w:rsid w:val="000B0511"/>
    <w:rsid w:val="00154ABB"/>
    <w:rsid w:val="0016406E"/>
    <w:rsid w:val="001676CC"/>
    <w:rsid w:val="001A3D5B"/>
    <w:rsid w:val="001E0D56"/>
    <w:rsid w:val="001E3CA3"/>
    <w:rsid w:val="001F664D"/>
    <w:rsid w:val="00210273"/>
    <w:rsid w:val="00262626"/>
    <w:rsid w:val="002646F3"/>
    <w:rsid w:val="002749C8"/>
    <w:rsid w:val="002C176E"/>
    <w:rsid w:val="002C1994"/>
    <w:rsid w:val="002C43BF"/>
    <w:rsid w:val="002D52A0"/>
    <w:rsid w:val="002F7F04"/>
    <w:rsid w:val="00306B3C"/>
    <w:rsid w:val="00362ABF"/>
    <w:rsid w:val="00377302"/>
    <w:rsid w:val="003830EA"/>
    <w:rsid w:val="003A0CD7"/>
    <w:rsid w:val="003B266F"/>
    <w:rsid w:val="003D6198"/>
    <w:rsid w:val="003D775C"/>
    <w:rsid w:val="004226B2"/>
    <w:rsid w:val="00446F61"/>
    <w:rsid w:val="004677A3"/>
    <w:rsid w:val="00486261"/>
    <w:rsid w:val="004E043D"/>
    <w:rsid w:val="004F0FF5"/>
    <w:rsid w:val="00507B77"/>
    <w:rsid w:val="00523801"/>
    <w:rsid w:val="00576A3B"/>
    <w:rsid w:val="00577338"/>
    <w:rsid w:val="0058511B"/>
    <w:rsid w:val="005A2A79"/>
    <w:rsid w:val="005A64F5"/>
    <w:rsid w:val="005B61AE"/>
    <w:rsid w:val="005D64E1"/>
    <w:rsid w:val="005E7189"/>
    <w:rsid w:val="005F6DFA"/>
    <w:rsid w:val="006002FE"/>
    <w:rsid w:val="00611D20"/>
    <w:rsid w:val="00612821"/>
    <w:rsid w:val="00624D7C"/>
    <w:rsid w:val="00627E49"/>
    <w:rsid w:val="006521E6"/>
    <w:rsid w:val="006E33CB"/>
    <w:rsid w:val="0071259F"/>
    <w:rsid w:val="00713179"/>
    <w:rsid w:val="0076609B"/>
    <w:rsid w:val="0078343F"/>
    <w:rsid w:val="007A076C"/>
    <w:rsid w:val="007A2D46"/>
    <w:rsid w:val="007B42FF"/>
    <w:rsid w:val="007B50AC"/>
    <w:rsid w:val="007D7665"/>
    <w:rsid w:val="007F585D"/>
    <w:rsid w:val="00815AA0"/>
    <w:rsid w:val="00824A27"/>
    <w:rsid w:val="008277B9"/>
    <w:rsid w:val="008357D6"/>
    <w:rsid w:val="008562CC"/>
    <w:rsid w:val="008962B8"/>
    <w:rsid w:val="00896AF4"/>
    <w:rsid w:val="008A284A"/>
    <w:rsid w:val="008F5E65"/>
    <w:rsid w:val="009179F5"/>
    <w:rsid w:val="00946AA3"/>
    <w:rsid w:val="0096323B"/>
    <w:rsid w:val="00975EF2"/>
    <w:rsid w:val="0098387E"/>
    <w:rsid w:val="009D2DF1"/>
    <w:rsid w:val="009D77FD"/>
    <w:rsid w:val="009E0AFF"/>
    <w:rsid w:val="00A17C16"/>
    <w:rsid w:val="00A348E0"/>
    <w:rsid w:val="00A35519"/>
    <w:rsid w:val="00A522AE"/>
    <w:rsid w:val="00AD0FFA"/>
    <w:rsid w:val="00B3470C"/>
    <w:rsid w:val="00B8388E"/>
    <w:rsid w:val="00B84F68"/>
    <w:rsid w:val="00BB14F6"/>
    <w:rsid w:val="00BB3031"/>
    <w:rsid w:val="00C304CC"/>
    <w:rsid w:val="00C30C45"/>
    <w:rsid w:val="00C418F1"/>
    <w:rsid w:val="00C70A30"/>
    <w:rsid w:val="00CB365A"/>
    <w:rsid w:val="00CB5792"/>
    <w:rsid w:val="00CC35C4"/>
    <w:rsid w:val="00CC7CFE"/>
    <w:rsid w:val="00CD54BA"/>
    <w:rsid w:val="00D2473A"/>
    <w:rsid w:val="00D55EB3"/>
    <w:rsid w:val="00D94238"/>
    <w:rsid w:val="00DA3574"/>
    <w:rsid w:val="00DC2F89"/>
    <w:rsid w:val="00DE6B89"/>
    <w:rsid w:val="00DF7BBD"/>
    <w:rsid w:val="00E13403"/>
    <w:rsid w:val="00E37759"/>
    <w:rsid w:val="00E7409F"/>
    <w:rsid w:val="00E91771"/>
    <w:rsid w:val="00EA43B9"/>
    <w:rsid w:val="00EE42AA"/>
    <w:rsid w:val="00EF41C1"/>
    <w:rsid w:val="00F15E0B"/>
    <w:rsid w:val="00F66482"/>
    <w:rsid w:val="00FD59DD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CE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FE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C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CF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C7CFE"/>
    <w:pPr>
      <w:ind w:left="720"/>
      <w:contextualSpacing/>
    </w:pPr>
  </w:style>
  <w:style w:type="paragraph" w:styleId="BodyText3">
    <w:name w:val="Body Text 3"/>
    <w:basedOn w:val="Normal"/>
    <w:link w:val="BodyText3Char"/>
    <w:rsid w:val="00CC7CFE"/>
    <w:pPr>
      <w:jc w:val="center"/>
    </w:pPr>
    <w:rPr>
      <w:b/>
      <w:sz w:val="28"/>
      <w:szCs w:val="32"/>
      <w:lang w:eastAsia="en-US"/>
    </w:rPr>
  </w:style>
  <w:style w:type="character" w:customStyle="1" w:styleId="BodyText3Char">
    <w:name w:val="Body Text 3 Char"/>
    <w:basedOn w:val="DefaultParagraphFont"/>
    <w:link w:val="BodyText3"/>
    <w:rsid w:val="00CC7CFE"/>
    <w:rPr>
      <w:rFonts w:eastAsia="Times New Roman" w:cs="Times New Roman"/>
      <w:b/>
      <w:szCs w:val="32"/>
    </w:rPr>
  </w:style>
  <w:style w:type="numbering" w:customStyle="1" w:styleId="Style1711">
    <w:name w:val="Style1711"/>
    <w:uiPriority w:val="99"/>
    <w:rsid w:val="00CC7CF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02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77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302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02"/>
    <w:rPr>
      <w:rFonts w:eastAsia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6406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5E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EF2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nhideWhenUsed/>
    <w:rsid w:val="00975EF2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4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14F6"/>
    <w:rPr>
      <w:rFonts w:eastAsia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FE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C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CF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C7CFE"/>
    <w:pPr>
      <w:ind w:left="720"/>
      <w:contextualSpacing/>
    </w:pPr>
  </w:style>
  <w:style w:type="paragraph" w:styleId="BodyText3">
    <w:name w:val="Body Text 3"/>
    <w:basedOn w:val="Normal"/>
    <w:link w:val="BodyText3Char"/>
    <w:rsid w:val="00CC7CFE"/>
    <w:pPr>
      <w:jc w:val="center"/>
    </w:pPr>
    <w:rPr>
      <w:b/>
      <w:sz w:val="28"/>
      <w:szCs w:val="32"/>
      <w:lang w:eastAsia="en-US"/>
    </w:rPr>
  </w:style>
  <w:style w:type="character" w:customStyle="1" w:styleId="BodyText3Char">
    <w:name w:val="Body Text 3 Char"/>
    <w:basedOn w:val="DefaultParagraphFont"/>
    <w:link w:val="BodyText3"/>
    <w:rsid w:val="00CC7CFE"/>
    <w:rPr>
      <w:rFonts w:eastAsia="Times New Roman" w:cs="Times New Roman"/>
      <w:b/>
      <w:szCs w:val="32"/>
    </w:rPr>
  </w:style>
  <w:style w:type="numbering" w:customStyle="1" w:styleId="Style1711">
    <w:name w:val="Style1711"/>
    <w:uiPriority w:val="99"/>
    <w:rsid w:val="00CC7CF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02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77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302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02"/>
    <w:rPr>
      <w:rFonts w:eastAsia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6406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5E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EF2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nhideWhenUsed/>
    <w:rsid w:val="00975EF2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4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14F6"/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E263-F975-4456-91F2-D92E19CF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Ilva</dc:creator>
  <cp:lastModifiedBy>Ilva Dreimane</cp:lastModifiedBy>
  <cp:revision>3</cp:revision>
  <cp:lastPrinted>2015-12-16T14:10:00Z</cp:lastPrinted>
  <dcterms:created xsi:type="dcterms:W3CDTF">2016-09-22T08:20:00Z</dcterms:created>
  <dcterms:modified xsi:type="dcterms:W3CDTF">2016-09-22T08:20:00Z</dcterms:modified>
</cp:coreProperties>
</file>