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5491" w14:textId="77777777" w:rsidR="004E043D" w:rsidRPr="00823174" w:rsidRDefault="004E043D" w:rsidP="00107A11">
      <w:pPr>
        <w:pStyle w:val="BodyText3"/>
        <w:tabs>
          <w:tab w:val="left" w:pos="284"/>
          <w:tab w:val="left" w:pos="426"/>
        </w:tabs>
        <w:jc w:val="both"/>
        <w:rPr>
          <w:rFonts w:asciiTheme="minorHAnsi" w:hAnsiTheme="minorHAnsi" w:cstheme="minorHAnsi"/>
          <w:sz w:val="22"/>
          <w:szCs w:val="22"/>
        </w:rPr>
      </w:pPr>
    </w:p>
    <w:p w14:paraId="1F98BD56" w14:textId="66A8D9FF" w:rsidR="00CC7CFE" w:rsidRPr="00823174" w:rsidRDefault="00CC7CFE" w:rsidP="00107A11">
      <w:pPr>
        <w:pStyle w:val="BodyText3"/>
        <w:tabs>
          <w:tab w:val="left" w:pos="284"/>
          <w:tab w:val="left" w:pos="426"/>
        </w:tabs>
        <w:rPr>
          <w:rFonts w:asciiTheme="minorHAnsi" w:hAnsiTheme="minorHAnsi" w:cstheme="minorHAnsi"/>
          <w:sz w:val="22"/>
          <w:szCs w:val="22"/>
        </w:rPr>
      </w:pPr>
      <w:r w:rsidRPr="00823174">
        <w:rPr>
          <w:rFonts w:asciiTheme="minorHAnsi" w:hAnsiTheme="minorHAnsi" w:cstheme="minorHAnsi"/>
          <w:sz w:val="22"/>
          <w:szCs w:val="22"/>
        </w:rPr>
        <w:t>Paziņojums par lēmumu</w:t>
      </w:r>
    </w:p>
    <w:p w14:paraId="49DF2055" w14:textId="0496D8FF" w:rsidR="00A522AE" w:rsidRPr="00823174" w:rsidRDefault="00CC7CFE" w:rsidP="00107A11">
      <w:pPr>
        <w:pStyle w:val="BodyText3"/>
        <w:tabs>
          <w:tab w:val="left" w:pos="284"/>
          <w:tab w:val="left" w:pos="426"/>
        </w:tabs>
        <w:rPr>
          <w:rFonts w:asciiTheme="minorHAnsi" w:hAnsiTheme="minorHAnsi" w:cstheme="minorHAnsi"/>
          <w:b w:val="0"/>
          <w:sz w:val="22"/>
          <w:szCs w:val="22"/>
        </w:rPr>
      </w:pPr>
      <w:r w:rsidRPr="00823174">
        <w:rPr>
          <w:rFonts w:asciiTheme="minorHAnsi" w:hAnsiTheme="minorHAnsi" w:cstheme="minorHAnsi"/>
          <w:b w:val="0"/>
          <w:sz w:val="22"/>
          <w:szCs w:val="22"/>
        </w:rPr>
        <w:t xml:space="preserve">Publisko iepirkumu likuma </w:t>
      </w:r>
      <w:r w:rsidR="003131D3" w:rsidRPr="00823174">
        <w:rPr>
          <w:rFonts w:asciiTheme="minorHAnsi" w:hAnsiTheme="minorHAnsi" w:cstheme="minorHAnsi"/>
          <w:b w:val="0"/>
          <w:sz w:val="22"/>
          <w:szCs w:val="22"/>
        </w:rPr>
        <w:t>9.</w:t>
      </w:r>
      <w:r w:rsidR="003D6198" w:rsidRPr="00823174">
        <w:rPr>
          <w:rFonts w:asciiTheme="minorHAnsi" w:hAnsiTheme="minorHAnsi" w:cstheme="minorHAnsi"/>
          <w:b w:val="0"/>
          <w:sz w:val="22"/>
          <w:szCs w:val="22"/>
        </w:rPr>
        <w:t xml:space="preserve"> panta</w:t>
      </w:r>
      <w:r w:rsidRPr="00823174">
        <w:rPr>
          <w:rFonts w:asciiTheme="minorHAnsi" w:hAnsiTheme="minorHAnsi" w:cstheme="minorHAnsi"/>
          <w:b w:val="0"/>
          <w:sz w:val="22"/>
          <w:szCs w:val="22"/>
        </w:rPr>
        <w:t xml:space="preserve"> iepirkum</w:t>
      </w:r>
      <w:r w:rsidR="007B42FF" w:rsidRPr="00823174">
        <w:rPr>
          <w:rFonts w:asciiTheme="minorHAnsi" w:hAnsiTheme="minorHAnsi" w:cstheme="minorHAnsi"/>
          <w:b w:val="0"/>
          <w:sz w:val="22"/>
          <w:szCs w:val="22"/>
        </w:rPr>
        <w:t>am</w:t>
      </w:r>
    </w:p>
    <w:p w14:paraId="3FDFE9D5" w14:textId="1994ACB6" w:rsidR="0071259F" w:rsidRPr="00823174" w:rsidRDefault="00DB5AF4" w:rsidP="00107A11">
      <w:pPr>
        <w:tabs>
          <w:tab w:val="left" w:pos="284"/>
          <w:tab w:val="left" w:pos="426"/>
        </w:tabs>
        <w:spacing w:after="120"/>
        <w:jc w:val="center"/>
        <w:rPr>
          <w:rFonts w:asciiTheme="minorHAnsi" w:hAnsiTheme="minorHAnsi" w:cstheme="minorHAnsi"/>
          <w:b/>
          <w:i/>
          <w:color w:val="000000"/>
          <w:sz w:val="22"/>
          <w:szCs w:val="22"/>
          <w:lang w:eastAsia="en-US"/>
        </w:rPr>
      </w:pPr>
      <w:r w:rsidRPr="00823174">
        <w:rPr>
          <w:rFonts w:asciiTheme="minorHAnsi" w:hAnsiTheme="minorHAnsi" w:cstheme="minorHAnsi"/>
          <w:b/>
          <w:i/>
          <w:sz w:val="22"/>
          <w:szCs w:val="22"/>
        </w:rPr>
        <w:t>„Tipogrāfijas pakalpojumu nodrošināšana SIA “Jūrmalas slimnīca” vajadzībām”, ID Nr. SIAJS2017/10</w:t>
      </w:r>
    </w:p>
    <w:p w14:paraId="0F2F5E33" w14:textId="77777777" w:rsidR="0071259F" w:rsidRPr="00823174" w:rsidRDefault="0071259F" w:rsidP="00107A11">
      <w:pPr>
        <w:tabs>
          <w:tab w:val="left" w:pos="284"/>
          <w:tab w:val="left" w:pos="426"/>
        </w:tabs>
        <w:spacing w:after="120"/>
        <w:jc w:val="center"/>
        <w:rPr>
          <w:rFonts w:asciiTheme="minorHAnsi" w:hAnsiTheme="minorHAnsi" w:cstheme="minorHAnsi"/>
          <w:b/>
          <w:color w:val="000000"/>
          <w:sz w:val="22"/>
          <w:szCs w:val="22"/>
          <w:lang w:eastAsia="en-US"/>
        </w:rPr>
      </w:pPr>
    </w:p>
    <w:p w14:paraId="49E4010E" w14:textId="7B604F78" w:rsidR="00CC7CFE" w:rsidRPr="00823174" w:rsidRDefault="00CC7CFE" w:rsidP="00107A11">
      <w:pPr>
        <w:pStyle w:val="ListParagraph"/>
        <w:numPr>
          <w:ilvl w:val="0"/>
          <w:numId w:val="11"/>
        </w:numPr>
        <w:tabs>
          <w:tab w:val="left" w:pos="284"/>
          <w:tab w:val="left" w:pos="426"/>
        </w:tabs>
        <w:spacing w:after="120"/>
        <w:ind w:left="0" w:firstLine="0"/>
        <w:jc w:val="both"/>
        <w:rPr>
          <w:rFonts w:asciiTheme="minorHAnsi" w:hAnsiTheme="minorHAnsi" w:cstheme="minorHAnsi"/>
          <w:b/>
          <w:sz w:val="22"/>
          <w:szCs w:val="22"/>
          <w:u w:val="single"/>
        </w:rPr>
      </w:pPr>
      <w:r w:rsidRPr="00823174">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032"/>
        <w:gridCol w:w="2773"/>
        <w:gridCol w:w="2066"/>
        <w:gridCol w:w="2462"/>
      </w:tblGrid>
      <w:tr w:rsidR="00DB5AF4" w:rsidRPr="00823174" w14:paraId="10301C5F" w14:textId="77777777" w:rsidTr="00C90517">
        <w:trPr>
          <w:trHeight w:val="20"/>
          <w:tblHeader/>
        </w:trPr>
        <w:tc>
          <w:tcPr>
            <w:tcW w:w="265" w:type="pct"/>
            <w:vMerge w:val="restart"/>
          </w:tcPr>
          <w:p w14:paraId="52FF1108"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Nr.</w:t>
            </w:r>
          </w:p>
        </w:tc>
        <w:tc>
          <w:tcPr>
            <w:tcW w:w="1031" w:type="pct"/>
            <w:vMerge w:val="restart"/>
          </w:tcPr>
          <w:p w14:paraId="1E3D38B3"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Pretendents</w:t>
            </w:r>
          </w:p>
        </w:tc>
        <w:tc>
          <w:tcPr>
            <w:tcW w:w="3704" w:type="pct"/>
            <w:gridSpan w:val="3"/>
          </w:tcPr>
          <w:p w14:paraId="2DB4E7DF"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Piedāvātā līgumcena EUR, bez PVN</w:t>
            </w:r>
          </w:p>
        </w:tc>
      </w:tr>
      <w:tr w:rsidR="00DB5AF4" w:rsidRPr="00823174" w14:paraId="7A97AC5F" w14:textId="77777777" w:rsidTr="00C90517">
        <w:trPr>
          <w:trHeight w:val="20"/>
          <w:tblHeader/>
        </w:trPr>
        <w:tc>
          <w:tcPr>
            <w:tcW w:w="265" w:type="pct"/>
            <w:vMerge/>
          </w:tcPr>
          <w:p w14:paraId="20BD317E"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p>
        </w:tc>
        <w:tc>
          <w:tcPr>
            <w:tcW w:w="1031" w:type="pct"/>
            <w:vMerge/>
          </w:tcPr>
          <w:p w14:paraId="15208578"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p>
        </w:tc>
        <w:tc>
          <w:tcPr>
            <w:tcW w:w="1407" w:type="pct"/>
          </w:tcPr>
          <w:p w14:paraId="1BAD0624"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Veidlapu un bukletu izgatavošana un piegāde;</w:t>
            </w:r>
          </w:p>
        </w:tc>
        <w:tc>
          <w:tcPr>
            <w:tcW w:w="1048" w:type="pct"/>
          </w:tcPr>
          <w:p w14:paraId="57D159BC"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Aplokšņu izgatavošana un piegāde</w:t>
            </w:r>
          </w:p>
        </w:tc>
        <w:tc>
          <w:tcPr>
            <w:tcW w:w="1249" w:type="pct"/>
          </w:tcPr>
          <w:p w14:paraId="156C6627"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Vizītkaršu izgatavošana un piegāde;</w:t>
            </w:r>
          </w:p>
        </w:tc>
      </w:tr>
      <w:tr w:rsidR="00DB5AF4" w:rsidRPr="00823174" w14:paraId="5273BFF9" w14:textId="77777777" w:rsidTr="00C90517">
        <w:trPr>
          <w:trHeight w:val="20"/>
          <w:tblHeader/>
        </w:trPr>
        <w:tc>
          <w:tcPr>
            <w:tcW w:w="265" w:type="pct"/>
            <w:vMerge/>
          </w:tcPr>
          <w:p w14:paraId="27BCC049"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p>
        </w:tc>
        <w:tc>
          <w:tcPr>
            <w:tcW w:w="1031" w:type="pct"/>
            <w:vMerge/>
          </w:tcPr>
          <w:p w14:paraId="0F296918"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p>
        </w:tc>
        <w:tc>
          <w:tcPr>
            <w:tcW w:w="1407" w:type="pct"/>
          </w:tcPr>
          <w:p w14:paraId="42B17684"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sz w:val="22"/>
                <w:szCs w:val="22"/>
              </w:rPr>
              <w:t>1.daļa</w:t>
            </w:r>
          </w:p>
        </w:tc>
        <w:tc>
          <w:tcPr>
            <w:tcW w:w="1048" w:type="pct"/>
          </w:tcPr>
          <w:p w14:paraId="2D1C73A8"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color w:val="000000"/>
                <w:sz w:val="22"/>
                <w:szCs w:val="22"/>
                <w:lang w:val="en-US" w:eastAsia="en-US"/>
              </w:rPr>
            </w:pPr>
            <w:r w:rsidRPr="00823174">
              <w:rPr>
                <w:rFonts w:asciiTheme="minorHAnsi" w:hAnsiTheme="minorHAnsi" w:cstheme="minorHAnsi"/>
                <w:b/>
                <w:color w:val="000000"/>
                <w:sz w:val="22"/>
                <w:szCs w:val="22"/>
                <w:lang w:val="en-US" w:eastAsia="en-US"/>
              </w:rPr>
              <w:t>2.daļa</w:t>
            </w:r>
          </w:p>
        </w:tc>
        <w:tc>
          <w:tcPr>
            <w:tcW w:w="1249" w:type="pct"/>
          </w:tcPr>
          <w:p w14:paraId="378DB55F"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b/>
                <w:sz w:val="22"/>
                <w:szCs w:val="22"/>
              </w:rPr>
            </w:pPr>
            <w:r w:rsidRPr="00823174">
              <w:rPr>
                <w:rFonts w:asciiTheme="minorHAnsi" w:hAnsiTheme="minorHAnsi" w:cstheme="minorHAnsi"/>
                <w:b/>
                <w:color w:val="000000"/>
                <w:sz w:val="22"/>
                <w:szCs w:val="22"/>
                <w:lang w:eastAsia="en-US"/>
              </w:rPr>
              <w:t>3.daļa</w:t>
            </w:r>
          </w:p>
        </w:tc>
      </w:tr>
      <w:tr w:rsidR="00DB5AF4" w:rsidRPr="00823174" w14:paraId="7093FFD8" w14:textId="77777777" w:rsidTr="00C90517">
        <w:trPr>
          <w:trHeight w:val="20"/>
        </w:trPr>
        <w:tc>
          <w:tcPr>
            <w:tcW w:w="265" w:type="pct"/>
          </w:tcPr>
          <w:p w14:paraId="3D9891B8" w14:textId="77777777" w:rsidR="00DB5AF4" w:rsidRPr="00823174" w:rsidRDefault="00DB5AF4" w:rsidP="00107A11">
            <w:pPr>
              <w:widowControl w:val="0"/>
              <w:numPr>
                <w:ilvl w:val="0"/>
                <w:numId w:val="14"/>
              </w:numPr>
              <w:pBdr>
                <w:bar w:val="single" w:sz="4" w:color="auto"/>
              </w:pBdr>
              <w:tabs>
                <w:tab w:val="left" w:pos="284"/>
                <w:tab w:val="left" w:pos="426"/>
              </w:tabs>
              <w:autoSpaceDE w:val="0"/>
              <w:autoSpaceDN w:val="0"/>
              <w:adjustRightInd w:val="0"/>
              <w:ind w:left="0" w:firstLine="0"/>
              <w:jc w:val="both"/>
              <w:rPr>
                <w:rFonts w:asciiTheme="minorHAnsi" w:hAnsiTheme="minorHAnsi" w:cstheme="minorHAnsi"/>
                <w:sz w:val="22"/>
                <w:szCs w:val="22"/>
              </w:rPr>
            </w:pPr>
          </w:p>
        </w:tc>
        <w:tc>
          <w:tcPr>
            <w:tcW w:w="1031" w:type="pct"/>
          </w:tcPr>
          <w:p w14:paraId="211B06A7" w14:textId="77777777" w:rsidR="00DB5AF4" w:rsidRPr="00823174" w:rsidRDefault="00DB5AF4" w:rsidP="00107A11">
            <w:pPr>
              <w:widowControl w:val="0"/>
              <w:tabs>
                <w:tab w:val="left" w:pos="284"/>
                <w:tab w:val="left" w:pos="426"/>
              </w:tabs>
              <w:autoSpaceDE w:val="0"/>
              <w:autoSpaceDN w:val="0"/>
              <w:adjustRightInd w:val="0"/>
              <w:jc w:val="both"/>
              <w:rPr>
                <w:rFonts w:asciiTheme="minorHAnsi" w:hAnsiTheme="minorHAnsi" w:cstheme="minorHAnsi"/>
                <w:sz w:val="22"/>
                <w:szCs w:val="22"/>
              </w:rPr>
            </w:pPr>
            <w:proofErr w:type="spellStart"/>
            <w:r w:rsidRPr="00823174">
              <w:rPr>
                <w:rFonts w:asciiTheme="minorHAnsi" w:hAnsiTheme="minorHAnsi" w:cstheme="minorHAnsi"/>
                <w:sz w:val="22"/>
                <w:szCs w:val="22"/>
              </w:rPr>
              <w:t>Sia</w:t>
            </w:r>
            <w:proofErr w:type="spellEnd"/>
            <w:r w:rsidRPr="00823174">
              <w:rPr>
                <w:rFonts w:asciiTheme="minorHAnsi" w:hAnsiTheme="minorHAnsi" w:cstheme="minorHAnsi"/>
                <w:sz w:val="22"/>
                <w:szCs w:val="22"/>
              </w:rPr>
              <w:t xml:space="preserve"> Māras druka</w:t>
            </w:r>
          </w:p>
        </w:tc>
        <w:tc>
          <w:tcPr>
            <w:tcW w:w="1407" w:type="pct"/>
          </w:tcPr>
          <w:p w14:paraId="24DB0119"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18679.96</w:t>
            </w:r>
          </w:p>
        </w:tc>
        <w:tc>
          <w:tcPr>
            <w:tcW w:w="1048" w:type="pct"/>
          </w:tcPr>
          <w:p w14:paraId="00C5DA0D"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1725.60</w:t>
            </w:r>
          </w:p>
        </w:tc>
        <w:tc>
          <w:tcPr>
            <w:tcW w:w="1249" w:type="pct"/>
          </w:tcPr>
          <w:p w14:paraId="414AE084"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2100.00</w:t>
            </w:r>
          </w:p>
        </w:tc>
      </w:tr>
      <w:tr w:rsidR="00DB5AF4" w:rsidRPr="00823174" w14:paraId="6D22C562" w14:textId="77777777" w:rsidTr="00C90517">
        <w:trPr>
          <w:trHeight w:val="20"/>
        </w:trPr>
        <w:tc>
          <w:tcPr>
            <w:tcW w:w="265" w:type="pct"/>
          </w:tcPr>
          <w:p w14:paraId="78CAE93E" w14:textId="77777777" w:rsidR="00DB5AF4" w:rsidRPr="00823174" w:rsidRDefault="00DB5AF4" w:rsidP="00107A11">
            <w:pPr>
              <w:widowControl w:val="0"/>
              <w:numPr>
                <w:ilvl w:val="0"/>
                <w:numId w:val="14"/>
              </w:numPr>
              <w:pBdr>
                <w:bar w:val="single" w:sz="4" w:color="auto"/>
              </w:pBdr>
              <w:tabs>
                <w:tab w:val="left" w:pos="284"/>
                <w:tab w:val="left" w:pos="426"/>
              </w:tabs>
              <w:autoSpaceDE w:val="0"/>
              <w:autoSpaceDN w:val="0"/>
              <w:adjustRightInd w:val="0"/>
              <w:ind w:left="0" w:firstLine="0"/>
              <w:jc w:val="both"/>
              <w:rPr>
                <w:rFonts w:asciiTheme="minorHAnsi" w:hAnsiTheme="minorHAnsi" w:cstheme="minorHAnsi"/>
                <w:sz w:val="22"/>
                <w:szCs w:val="22"/>
              </w:rPr>
            </w:pPr>
          </w:p>
        </w:tc>
        <w:tc>
          <w:tcPr>
            <w:tcW w:w="1031" w:type="pct"/>
          </w:tcPr>
          <w:p w14:paraId="1B62DF65" w14:textId="77777777" w:rsidR="00DB5AF4" w:rsidRPr="00823174" w:rsidRDefault="00DB5AF4" w:rsidP="00107A11">
            <w:pPr>
              <w:widowControl w:val="0"/>
              <w:tabs>
                <w:tab w:val="left" w:pos="284"/>
                <w:tab w:val="left" w:pos="426"/>
              </w:tabs>
              <w:autoSpaceDE w:val="0"/>
              <w:autoSpaceDN w:val="0"/>
              <w:adjustRightInd w:val="0"/>
              <w:jc w:val="both"/>
              <w:rPr>
                <w:rFonts w:asciiTheme="minorHAnsi" w:hAnsiTheme="minorHAnsi" w:cstheme="minorHAnsi"/>
                <w:sz w:val="22"/>
                <w:szCs w:val="22"/>
              </w:rPr>
            </w:pPr>
            <w:proofErr w:type="spellStart"/>
            <w:r w:rsidRPr="00823174">
              <w:rPr>
                <w:rFonts w:asciiTheme="minorHAnsi" w:hAnsiTheme="minorHAnsi" w:cstheme="minorHAnsi"/>
                <w:sz w:val="22"/>
                <w:szCs w:val="22"/>
              </w:rPr>
              <w:t>Sia</w:t>
            </w:r>
            <w:proofErr w:type="spellEnd"/>
            <w:r w:rsidRPr="00823174">
              <w:rPr>
                <w:rFonts w:asciiTheme="minorHAnsi" w:hAnsiTheme="minorHAnsi" w:cstheme="minorHAnsi"/>
                <w:sz w:val="22"/>
                <w:szCs w:val="22"/>
              </w:rPr>
              <w:t xml:space="preserve"> GR ART&amp;PRINT</w:t>
            </w:r>
          </w:p>
        </w:tc>
        <w:tc>
          <w:tcPr>
            <w:tcW w:w="1407" w:type="pct"/>
          </w:tcPr>
          <w:p w14:paraId="3B20E083"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39242.96</w:t>
            </w:r>
          </w:p>
        </w:tc>
        <w:tc>
          <w:tcPr>
            <w:tcW w:w="1048" w:type="pct"/>
          </w:tcPr>
          <w:p w14:paraId="7751CB9E"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1441.61</w:t>
            </w:r>
          </w:p>
        </w:tc>
        <w:tc>
          <w:tcPr>
            <w:tcW w:w="1249" w:type="pct"/>
          </w:tcPr>
          <w:p w14:paraId="17FD57EC"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2400.00</w:t>
            </w:r>
          </w:p>
        </w:tc>
      </w:tr>
      <w:tr w:rsidR="00DB5AF4" w:rsidRPr="00823174" w14:paraId="18AD9C28" w14:textId="77777777" w:rsidTr="00C90517">
        <w:trPr>
          <w:trHeight w:val="20"/>
        </w:trPr>
        <w:tc>
          <w:tcPr>
            <w:tcW w:w="265" w:type="pct"/>
          </w:tcPr>
          <w:p w14:paraId="69FB39D5" w14:textId="77777777" w:rsidR="00DB5AF4" w:rsidRPr="00823174" w:rsidRDefault="00DB5AF4" w:rsidP="00107A11">
            <w:pPr>
              <w:widowControl w:val="0"/>
              <w:numPr>
                <w:ilvl w:val="0"/>
                <w:numId w:val="14"/>
              </w:numPr>
              <w:pBdr>
                <w:bar w:val="single" w:sz="4" w:color="auto"/>
              </w:pBdr>
              <w:tabs>
                <w:tab w:val="left" w:pos="284"/>
                <w:tab w:val="left" w:pos="426"/>
              </w:tabs>
              <w:autoSpaceDE w:val="0"/>
              <w:autoSpaceDN w:val="0"/>
              <w:adjustRightInd w:val="0"/>
              <w:ind w:left="0" w:firstLine="0"/>
              <w:jc w:val="both"/>
              <w:rPr>
                <w:rFonts w:asciiTheme="minorHAnsi" w:hAnsiTheme="minorHAnsi" w:cstheme="minorHAnsi"/>
                <w:sz w:val="22"/>
                <w:szCs w:val="22"/>
              </w:rPr>
            </w:pPr>
          </w:p>
        </w:tc>
        <w:tc>
          <w:tcPr>
            <w:tcW w:w="1031" w:type="pct"/>
          </w:tcPr>
          <w:p w14:paraId="65E69CAF" w14:textId="77777777" w:rsidR="00DB5AF4" w:rsidRPr="00823174" w:rsidRDefault="00DB5AF4" w:rsidP="00107A11">
            <w:pPr>
              <w:widowControl w:val="0"/>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SIA LGV</w:t>
            </w:r>
          </w:p>
        </w:tc>
        <w:tc>
          <w:tcPr>
            <w:tcW w:w="1407" w:type="pct"/>
          </w:tcPr>
          <w:p w14:paraId="5B15CC86"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14029.80</w:t>
            </w:r>
          </w:p>
        </w:tc>
        <w:tc>
          <w:tcPr>
            <w:tcW w:w="1048" w:type="pct"/>
          </w:tcPr>
          <w:p w14:paraId="6E54208C"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908.69</w:t>
            </w:r>
          </w:p>
        </w:tc>
        <w:tc>
          <w:tcPr>
            <w:tcW w:w="1249" w:type="pct"/>
          </w:tcPr>
          <w:p w14:paraId="2C717BF8" w14:textId="77777777" w:rsidR="00DB5AF4" w:rsidRPr="00823174" w:rsidRDefault="00DB5AF4" w:rsidP="00107A11">
            <w:pPr>
              <w:widowControl w:val="0"/>
              <w:pBdr>
                <w:bar w:val="single" w:sz="4" w:color="auto"/>
              </w:pBdr>
              <w:tabs>
                <w:tab w:val="left" w:pos="284"/>
                <w:tab w:val="left" w:pos="426"/>
              </w:tabs>
              <w:autoSpaceDE w:val="0"/>
              <w:autoSpaceDN w:val="0"/>
              <w:adjustRightInd w:val="0"/>
              <w:jc w:val="both"/>
              <w:rPr>
                <w:rFonts w:asciiTheme="minorHAnsi" w:hAnsiTheme="minorHAnsi" w:cstheme="minorHAnsi"/>
                <w:sz w:val="22"/>
                <w:szCs w:val="22"/>
              </w:rPr>
            </w:pPr>
            <w:r w:rsidRPr="00823174">
              <w:rPr>
                <w:rFonts w:asciiTheme="minorHAnsi" w:hAnsiTheme="minorHAnsi" w:cstheme="minorHAnsi"/>
                <w:sz w:val="22"/>
                <w:szCs w:val="22"/>
              </w:rPr>
              <w:t>2100.00</w:t>
            </w:r>
          </w:p>
        </w:tc>
      </w:tr>
    </w:tbl>
    <w:p w14:paraId="16158795" w14:textId="77777777" w:rsidR="00DB5AF4" w:rsidRPr="00823174" w:rsidRDefault="00DB5AF4" w:rsidP="00107A11">
      <w:pPr>
        <w:pStyle w:val="ListParagraph"/>
        <w:tabs>
          <w:tab w:val="left" w:pos="284"/>
          <w:tab w:val="left" w:pos="426"/>
        </w:tabs>
        <w:spacing w:after="120"/>
        <w:ind w:left="0"/>
        <w:jc w:val="both"/>
        <w:rPr>
          <w:rFonts w:asciiTheme="minorHAnsi" w:hAnsiTheme="minorHAnsi" w:cstheme="minorHAnsi"/>
          <w:b/>
          <w:sz w:val="22"/>
          <w:szCs w:val="22"/>
          <w:u w:val="single"/>
        </w:rPr>
      </w:pPr>
    </w:p>
    <w:p w14:paraId="2A466CC7" w14:textId="5C9036E4" w:rsidR="00507B77" w:rsidRPr="00823174" w:rsidRDefault="00CC7CFE" w:rsidP="00107A11">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823174">
        <w:rPr>
          <w:rFonts w:asciiTheme="minorHAnsi" w:hAnsiTheme="minorHAnsi" w:cstheme="minorHAnsi"/>
          <w:b/>
          <w:sz w:val="22"/>
          <w:szCs w:val="22"/>
          <w:u w:val="single"/>
        </w:rPr>
        <w:t xml:space="preserve">Noraidītie pretendenti un noraidīšanas iemesli: </w:t>
      </w:r>
    </w:p>
    <w:p w14:paraId="3273F7B2" w14:textId="47FA3442" w:rsidR="00823174" w:rsidRPr="00823174" w:rsidRDefault="00275A46" w:rsidP="00107A11">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823174">
        <w:rPr>
          <w:rFonts w:asciiTheme="minorHAnsi" w:hAnsiTheme="minorHAnsi" w:cstheme="minorHAnsi"/>
          <w:b/>
          <w:sz w:val="22"/>
          <w:szCs w:val="22"/>
          <w:u w:val="single"/>
          <w:lang w:eastAsia="ar-SA"/>
        </w:rPr>
        <w:t xml:space="preserve">SIA LGV </w:t>
      </w:r>
      <w:r w:rsidR="00A67BD5">
        <w:rPr>
          <w:rFonts w:asciiTheme="minorHAnsi" w:hAnsiTheme="minorHAnsi" w:cstheme="minorHAnsi"/>
          <w:sz w:val="22"/>
          <w:szCs w:val="22"/>
          <w:lang w:eastAsia="ar-SA"/>
        </w:rPr>
        <w:t xml:space="preserve"> piedāvājums </w:t>
      </w:r>
      <w:r w:rsidR="00823174" w:rsidRPr="00823174">
        <w:rPr>
          <w:rFonts w:asciiTheme="minorHAnsi" w:hAnsiTheme="minorHAnsi" w:cstheme="minorHAnsi"/>
          <w:sz w:val="22"/>
          <w:szCs w:val="22"/>
          <w:lang w:eastAsia="ar-SA"/>
        </w:rPr>
        <w:t>tika noraidīts tehnisko piedāvājumu pārbaud</w:t>
      </w:r>
      <w:r w:rsidR="00823174">
        <w:rPr>
          <w:rFonts w:asciiTheme="minorHAnsi" w:hAnsiTheme="minorHAnsi" w:cstheme="minorHAnsi"/>
          <w:sz w:val="22"/>
          <w:szCs w:val="22"/>
          <w:lang w:eastAsia="ar-SA"/>
        </w:rPr>
        <w:t xml:space="preserve">es posmā </w:t>
      </w:r>
      <w:r w:rsidR="00823174" w:rsidRPr="00823174">
        <w:rPr>
          <w:rFonts w:asciiTheme="minorHAnsi" w:hAnsiTheme="minorHAnsi" w:cstheme="minorHAnsi"/>
          <w:sz w:val="22"/>
          <w:szCs w:val="22"/>
          <w:lang w:eastAsia="ar-SA"/>
        </w:rPr>
        <w:t xml:space="preserve"> iepirkuma 2. </w:t>
      </w:r>
      <w:r w:rsidR="00823174">
        <w:rPr>
          <w:rFonts w:asciiTheme="minorHAnsi" w:hAnsiTheme="minorHAnsi" w:cstheme="minorHAnsi"/>
          <w:sz w:val="22"/>
          <w:szCs w:val="22"/>
          <w:lang w:eastAsia="ar-SA"/>
        </w:rPr>
        <w:t>un</w:t>
      </w:r>
      <w:r w:rsidR="00823174" w:rsidRPr="00823174">
        <w:rPr>
          <w:rFonts w:asciiTheme="minorHAnsi" w:hAnsiTheme="minorHAnsi" w:cstheme="minorHAnsi"/>
          <w:sz w:val="22"/>
          <w:szCs w:val="22"/>
          <w:lang w:eastAsia="ar-SA"/>
        </w:rPr>
        <w:t xml:space="preserve"> 3. daļā</w:t>
      </w:r>
      <w:r w:rsidR="00823174">
        <w:rPr>
          <w:rFonts w:asciiTheme="minorHAnsi" w:hAnsiTheme="minorHAnsi" w:cstheme="minorHAnsi"/>
          <w:sz w:val="22"/>
          <w:szCs w:val="22"/>
          <w:lang w:eastAsia="ar-SA"/>
        </w:rPr>
        <w:t xml:space="preserve">. </w:t>
      </w:r>
      <w:r w:rsidR="00823174" w:rsidRPr="00823174">
        <w:rPr>
          <w:rFonts w:asciiTheme="minorHAnsi" w:hAnsiTheme="minorHAnsi" w:cstheme="minorHAnsi"/>
          <w:sz w:val="22"/>
          <w:szCs w:val="22"/>
          <w:lang w:eastAsia="ar-SA"/>
        </w:rPr>
        <w:t xml:space="preserve"> SIA LGV </w:t>
      </w:r>
      <w:r w:rsidRPr="00823174">
        <w:rPr>
          <w:rFonts w:asciiTheme="minorHAnsi" w:hAnsiTheme="minorHAnsi" w:cstheme="minorHAnsi"/>
          <w:sz w:val="22"/>
          <w:szCs w:val="22"/>
          <w:lang w:eastAsia="ar-SA"/>
        </w:rPr>
        <w:t xml:space="preserve">neiesniedza komisijas pieprasītos paraugus iepirkuma 2. un 3. daļā, </w:t>
      </w:r>
      <w:r w:rsidR="00A67BD5">
        <w:rPr>
          <w:rFonts w:asciiTheme="minorHAnsi" w:hAnsiTheme="minorHAnsi" w:cstheme="minorHAnsi"/>
          <w:sz w:val="22"/>
          <w:szCs w:val="22"/>
          <w:lang w:eastAsia="ar-SA"/>
        </w:rPr>
        <w:t xml:space="preserve">kā arī </w:t>
      </w:r>
      <w:r w:rsidR="00823174" w:rsidRPr="00823174">
        <w:rPr>
          <w:rFonts w:asciiTheme="minorHAnsi" w:hAnsiTheme="minorHAnsi" w:cstheme="minorHAnsi"/>
          <w:sz w:val="22"/>
          <w:szCs w:val="22"/>
          <w:lang w:eastAsia="ar-SA"/>
        </w:rPr>
        <w:t xml:space="preserve">Pretendents  piedāvājuma sagatavošanai nebija pievērsies ar tam pienākušos rūpību, t.i.  Nolikuma 2.pielikums Tehniskā specifikācija –tehniskais piedāvājums – finanšu piedāvājums iesniegts daļēji, t.i.  </w:t>
      </w:r>
      <w:r w:rsidR="00823174" w:rsidRPr="00823174">
        <w:rPr>
          <w:rFonts w:asciiTheme="minorHAnsi" w:hAnsiTheme="minorHAnsi" w:cstheme="minorHAnsi"/>
          <w:sz w:val="22"/>
          <w:szCs w:val="22"/>
        </w:rPr>
        <w:t xml:space="preserve">Ir iesniegts  2.pielikuma elektroniskās versijas </w:t>
      </w:r>
      <w:r w:rsidR="00A67BD5">
        <w:rPr>
          <w:rFonts w:asciiTheme="minorHAnsi" w:hAnsiTheme="minorHAnsi" w:cstheme="minorHAnsi"/>
          <w:sz w:val="22"/>
          <w:szCs w:val="22"/>
        </w:rPr>
        <w:t>E</w:t>
      </w:r>
      <w:r w:rsidR="00823174" w:rsidRPr="00823174">
        <w:rPr>
          <w:rFonts w:asciiTheme="minorHAnsi" w:hAnsiTheme="minorHAnsi" w:cstheme="minorHAnsi"/>
          <w:sz w:val="22"/>
          <w:szCs w:val="22"/>
        </w:rPr>
        <w:t>xcel fails (III sadaļa), Word daļa (I un II daļa) nav iesniegta.</w:t>
      </w:r>
      <w:r w:rsidR="00A67BD5" w:rsidRPr="00A67BD5">
        <w:t xml:space="preserve"> </w:t>
      </w:r>
      <w:r w:rsidR="00A67BD5">
        <w:rPr>
          <w:rFonts w:asciiTheme="minorHAnsi" w:hAnsiTheme="minorHAnsi" w:cstheme="minorHAnsi"/>
          <w:sz w:val="22"/>
          <w:szCs w:val="22"/>
        </w:rPr>
        <w:t>K</w:t>
      </w:r>
      <w:r w:rsidR="00A67BD5" w:rsidRPr="00A67BD5">
        <w:rPr>
          <w:rFonts w:asciiTheme="minorHAnsi" w:hAnsiTheme="minorHAnsi" w:cstheme="minorHAnsi"/>
          <w:sz w:val="22"/>
          <w:szCs w:val="22"/>
        </w:rPr>
        <w:t>omisija līdz ar to no tās rīcībā esošās informācijas  nevarēja  pilnībā pārliecināties par piedāvājuma atbilstību tehniskajām specifikācijām</w:t>
      </w:r>
      <w:r w:rsidR="00A67BD5">
        <w:rPr>
          <w:rFonts w:asciiTheme="minorHAnsi" w:hAnsiTheme="minorHAnsi" w:cstheme="minorHAnsi"/>
          <w:sz w:val="22"/>
          <w:szCs w:val="22"/>
        </w:rPr>
        <w:t xml:space="preserve"> un nolēma atzīt iesniegto piedāvājumu par neatbilstošu</w:t>
      </w:r>
      <w:r w:rsidR="00A67BD5" w:rsidRPr="00A67BD5">
        <w:rPr>
          <w:rFonts w:asciiTheme="minorHAnsi" w:hAnsiTheme="minorHAnsi" w:cstheme="minorHAnsi"/>
          <w:sz w:val="22"/>
          <w:szCs w:val="22"/>
        </w:rPr>
        <w:t xml:space="preserve">.  </w:t>
      </w:r>
    </w:p>
    <w:p w14:paraId="57D679E8" w14:textId="77777777" w:rsidR="00823174" w:rsidRPr="00823174" w:rsidRDefault="00823174" w:rsidP="00107A11">
      <w:pPr>
        <w:pStyle w:val="ListParagraph"/>
        <w:tabs>
          <w:tab w:val="left" w:pos="284"/>
          <w:tab w:val="left" w:pos="426"/>
          <w:tab w:val="left" w:pos="567"/>
        </w:tabs>
        <w:spacing w:line="276" w:lineRule="auto"/>
        <w:ind w:left="0"/>
        <w:jc w:val="both"/>
        <w:rPr>
          <w:rFonts w:asciiTheme="minorHAnsi" w:hAnsiTheme="minorHAnsi" w:cstheme="minorHAnsi"/>
          <w:b/>
          <w:sz w:val="22"/>
          <w:szCs w:val="22"/>
          <w:u w:val="single"/>
        </w:rPr>
      </w:pPr>
    </w:p>
    <w:p w14:paraId="7C86F8BC" w14:textId="5C30B14D" w:rsidR="00CC7CFE" w:rsidRDefault="00823174" w:rsidP="00107A11">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823174">
        <w:rPr>
          <w:rFonts w:asciiTheme="minorHAnsi" w:hAnsiTheme="minorHAnsi" w:cstheme="minorHAnsi"/>
          <w:b/>
          <w:sz w:val="22"/>
          <w:szCs w:val="22"/>
          <w:u w:val="single"/>
        </w:rPr>
        <w:t>P</w:t>
      </w:r>
      <w:r w:rsidR="00CC7CFE" w:rsidRPr="00823174">
        <w:rPr>
          <w:rFonts w:asciiTheme="minorHAnsi" w:hAnsiTheme="minorHAnsi" w:cstheme="minorHAnsi"/>
          <w:b/>
          <w:sz w:val="22"/>
          <w:szCs w:val="22"/>
          <w:u w:val="single"/>
        </w:rPr>
        <w:t xml:space="preserve">iedāvājuma izvēles un vērtēšanas kritēriji: </w:t>
      </w:r>
      <w:r w:rsidR="00523801" w:rsidRPr="00823174">
        <w:rPr>
          <w:rFonts w:asciiTheme="minorHAnsi" w:hAnsiTheme="minorHAnsi" w:cstheme="minorHAnsi"/>
          <w:sz w:val="22"/>
          <w:szCs w:val="22"/>
        </w:rPr>
        <w:t>Piedāvājums, kas ir ar viszemāko cenu un kas pilnībā atbilst izvirzītajām prasībām.</w:t>
      </w:r>
    </w:p>
    <w:p w14:paraId="64B3B465" w14:textId="77777777" w:rsidR="00A67BD5" w:rsidRPr="00823174" w:rsidRDefault="00A67BD5" w:rsidP="00A67BD5">
      <w:pPr>
        <w:pStyle w:val="ListParagraph"/>
        <w:tabs>
          <w:tab w:val="left" w:pos="284"/>
          <w:tab w:val="left" w:pos="426"/>
          <w:tab w:val="left" w:pos="567"/>
        </w:tabs>
        <w:spacing w:line="276" w:lineRule="auto"/>
        <w:ind w:left="0"/>
        <w:jc w:val="both"/>
        <w:rPr>
          <w:rFonts w:asciiTheme="minorHAnsi" w:hAnsiTheme="minorHAnsi" w:cstheme="minorHAnsi"/>
          <w:sz w:val="22"/>
          <w:szCs w:val="22"/>
        </w:rPr>
      </w:pPr>
    </w:p>
    <w:p w14:paraId="206ED118" w14:textId="77777777" w:rsidR="00CB365A" w:rsidRPr="00823174" w:rsidRDefault="00CC7CFE" w:rsidP="00107A11">
      <w:pPr>
        <w:widowControl w:val="0"/>
        <w:numPr>
          <w:ilvl w:val="0"/>
          <w:numId w:val="11"/>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823174">
        <w:rPr>
          <w:rFonts w:asciiTheme="minorHAnsi" w:hAnsiTheme="minorHAnsi" w:cstheme="minorHAnsi"/>
          <w:b/>
          <w:sz w:val="22"/>
          <w:szCs w:val="22"/>
          <w:u w:val="single"/>
        </w:rPr>
        <w:t>Pretendenta nosaukums, ar kuru nolemts slēgt iepirkuma līgumu un pamatojums</w:t>
      </w:r>
    </w:p>
    <w:p w14:paraId="17676944" w14:textId="4076D8C6" w:rsidR="00DB5AF4" w:rsidRPr="00107A11" w:rsidRDefault="00CC7CFE" w:rsidP="00107A11">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823174">
        <w:rPr>
          <w:rFonts w:asciiTheme="minorHAnsi" w:hAnsiTheme="minorHAnsi" w:cstheme="minorHAnsi"/>
          <w:b/>
          <w:sz w:val="22"/>
          <w:szCs w:val="22"/>
          <w:u w:val="single"/>
        </w:rPr>
        <w:t xml:space="preserve"> piedāvājuma izvēlei:</w:t>
      </w:r>
      <w:r w:rsidR="007B42FF" w:rsidRPr="00823174">
        <w:rPr>
          <w:rFonts w:asciiTheme="minorHAnsi" w:hAnsiTheme="minorHAnsi" w:cstheme="minorHAnsi"/>
          <w:b/>
          <w:sz w:val="22"/>
          <w:szCs w:val="22"/>
          <w:u w:val="single"/>
        </w:rPr>
        <w:t xml:space="preserve"> </w:t>
      </w:r>
      <w:r w:rsidR="00306B3C" w:rsidRPr="00823174">
        <w:rPr>
          <w:rFonts w:asciiTheme="minorHAnsi" w:hAnsiTheme="minorHAnsi" w:cstheme="minorHAnsi"/>
          <w:b/>
          <w:sz w:val="22"/>
          <w:szCs w:val="22"/>
          <w:u w:val="single"/>
        </w:rPr>
        <w:t xml:space="preserve"> </w:t>
      </w:r>
      <w:r w:rsidR="00107A11" w:rsidRPr="00107A11">
        <w:rPr>
          <w:rFonts w:asciiTheme="minorHAnsi" w:hAnsiTheme="minorHAnsi" w:cstheme="minorHAnsi"/>
          <w:sz w:val="22"/>
          <w:szCs w:val="22"/>
        </w:rPr>
        <w:t>Piedāvājumi, kas atbilst Nolikumā izvirzītajām prasībām un ir ar viszemāko cenu,  un attiecībā uz kuriem nav iestājies neviens no Publisko iepirkumu likuma 9. panta astotajā  daļā. minētajiem izslēgšanas nosacījumiem</w:t>
      </w:r>
      <w:r w:rsidR="00107A11">
        <w:rPr>
          <w:rFonts w:asciiTheme="minorHAnsi" w:hAnsiTheme="minorHAnsi" w:cstheme="minorHAnsi"/>
          <w:sz w:val="22"/>
          <w:szCs w:val="22"/>
        </w:rPr>
        <w:t>:</w:t>
      </w:r>
    </w:p>
    <w:p w14:paraId="3B39617F" w14:textId="77777777" w:rsidR="00107A11" w:rsidRPr="00107A11" w:rsidRDefault="00107A11" w:rsidP="00107A11">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107A11">
        <w:rPr>
          <w:rFonts w:asciiTheme="minorHAnsi" w:hAnsiTheme="minorHAnsi" w:cstheme="minorHAnsi"/>
          <w:sz w:val="22"/>
          <w:szCs w:val="22"/>
        </w:rPr>
        <w:t xml:space="preserve">2.daļā - </w:t>
      </w:r>
      <w:proofErr w:type="spellStart"/>
      <w:r w:rsidRPr="00107A11">
        <w:rPr>
          <w:rFonts w:asciiTheme="minorHAnsi" w:hAnsiTheme="minorHAnsi" w:cstheme="minorHAnsi"/>
          <w:sz w:val="22"/>
          <w:szCs w:val="22"/>
        </w:rPr>
        <w:t>Sia</w:t>
      </w:r>
      <w:proofErr w:type="spellEnd"/>
      <w:r w:rsidRPr="00107A11">
        <w:rPr>
          <w:rFonts w:asciiTheme="minorHAnsi" w:hAnsiTheme="minorHAnsi" w:cstheme="minorHAnsi"/>
          <w:sz w:val="22"/>
          <w:szCs w:val="22"/>
        </w:rPr>
        <w:t xml:space="preserve"> GR ART&amp;PRINT,  1441.61 </w:t>
      </w:r>
      <w:proofErr w:type="spellStart"/>
      <w:r w:rsidRPr="00107A11">
        <w:rPr>
          <w:rFonts w:asciiTheme="minorHAnsi" w:hAnsiTheme="minorHAnsi" w:cstheme="minorHAnsi"/>
          <w:sz w:val="22"/>
          <w:szCs w:val="22"/>
        </w:rPr>
        <w:t>euro</w:t>
      </w:r>
      <w:proofErr w:type="spellEnd"/>
      <w:r w:rsidRPr="00107A11">
        <w:rPr>
          <w:rFonts w:asciiTheme="minorHAnsi" w:hAnsiTheme="minorHAnsi" w:cstheme="minorHAnsi"/>
          <w:sz w:val="22"/>
          <w:szCs w:val="22"/>
        </w:rPr>
        <w:t xml:space="preserve"> bez  PVN</w:t>
      </w:r>
    </w:p>
    <w:p w14:paraId="2A489407" w14:textId="235E2413" w:rsidR="00107A11" w:rsidRPr="00107A11" w:rsidRDefault="00107A11" w:rsidP="00107A11">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107A11">
        <w:rPr>
          <w:rFonts w:asciiTheme="minorHAnsi" w:hAnsiTheme="minorHAnsi" w:cstheme="minorHAnsi"/>
          <w:sz w:val="22"/>
          <w:szCs w:val="22"/>
        </w:rPr>
        <w:t xml:space="preserve">3. daļā - </w:t>
      </w:r>
      <w:proofErr w:type="spellStart"/>
      <w:r w:rsidRPr="00107A11">
        <w:rPr>
          <w:rFonts w:asciiTheme="minorHAnsi" w:hAnsiTheme="minorHAnsi" w:cstheme="minorHAnsi"/>
          <w:sz w:val="22"/>
          <w:szCs w:val="22"/>
        </w:rPr>
        <w:t>Sia</w:t>
      </w:r>
      <w:proofErr w:type="spellEnd"/>
      <w:r w:rsidRPr="00107A11">
        <w:rPr>
          <w:rFonts w:asciiTheme="minorHAnsi" w:hAnsiTheme="minorHAnsi" w:cstheme="minorHAnsi"/>
          <w:sz w:val="22"/>
          <w:szCs w:val="22"/>
        </w:rPr>
        <w:t xml:space="preserve"> Māras druka, 2100 </w:t>
      </w:r>
      <w:proofErr w:type="spellStart"/>
      <w:r w:rsidRPr="00107A11">
        <w:rPr>
          <w:rFonts w:asciiTheme="minorHAnsi" w:hAnsiTheme="minorHAnsi" w:cstheme="minorHAnsi"/>
          <w:sz w:val="22"/>
          <w:szCs w:val="22"/>
        </w:rPr>
        <w:t>euro</w:t>
      </w:r>
      <w:proofErr w:type="spellEnd"/>
      <w:r w:rsidRPr="00107A11">
        <w:rPr>
          <w:rFonts w:asciiTheme="minorHAnsi" w:hAnsiTheme="minorHAnsi" w:cstheme="minorHAnsi"/>
          <w:sz w:val="22"/>
          <w:szCs w:val="22"/>
        </w:rPr>
        <w:t xml:space="preserve"> bez  PVN</w:t>
      </w:r>
    </w:p>
    <w:p w14:paraId="786E2115" w14:textId="3DB4BC38" w:rsidR="003A0CD7" w:rsidRPr="00823174" w:rsidRDefault="00DA3574" w:rsidP="00107A11">
      <w:pPr>
        <w:pStyle w:val="ListParagraph"/>
        <w:widowControl w:val="0"/>
        <w:numPr>
          <w:ilvl w:val="0"/>
          <w:numId w:val="11"/>
        </w:numPr>
        <w:tabs>
          <w:tab w:val="left" w:pos="284"/>
          <w:tab w:val="left" w:pos="426"/>
        </w:tabs>
        <w:autoSpaceDE w:val="0"/>
        <w:autoSpaceDN w:val="0"/>
        <w:adjustRightInd w:val="0"/>
        <w:ind w:left="0" w:firstLine="0"/>
        <w:jc w:val="both"/>
        <w:rPr>
          <w:rFonts w:asciiTheme="minorHAnsi" w:hAnsiTheme="minorHAnsi" w:cstheme="minorHAnsi"/>
          <w:b/>
          <w:sz w:val="22"/>
          <w:szCs w:val="22"/>
          <w:u w:val="single"/>
        </w:rPr>
      </w:pPr>
      <w:r w:rsidRPr="00823174">
        <w:rPr>
          <w:rFonts w:asciiTheme="minorHAnsi" w:hAnsiTheme="minorHAnsi" w:cstheme="minorHAnsi"/>
          <w:b/>
          <w:sz w:val="22"/>
          <w:szCs w:val="22"/>
          <w:u w:val="single"/>
        </w:rPr>
        <w:t>Lēmuma pieņemšanas datums:</w:t>
      </w:r>
      <w:r w:rsidR="00BB14F6" w:rsidRPr="00823174">
        <w:rPr>
          <w:rFonts w:asciiTheme="minorHAnsi" w:hAnsiTheme="minorHAnsi" w:cstheme="minorHAnsi"/>
          <w:b/>
          <w:sz w:val="22"/>
          <w:szCs w:val="22"/>
          <w:u w:val="single"/>
        </w:rPr>
        <w:t xml:space="preserve"> </w:t>
      </w:r>
      <w:r w:rsidR="00DB5AF4" w:rsidRPr="00107A11">
        <w:rPr>
          <w:rFonts w:asciiTheme="minorHAnsi" w:hAnsiTheme="minorHAnsi" w:cstheme="minorHAnsi"/>
          <w:sz w:val="22"/>
          <w:szCs w:val="22"/>
        </w:rPr>
        <w:t>13.06.2017.</w:t>
      </w:r>
    </w:p>
    <w:p w14:paraId="4439E0B0" w14:textId="77777777" w:rsidR="00BB14F6" w:rsidRPr="00823174" w:rsidRDefault="00CB365A" w:rsidP="00107A11">
      <w:pPr>
        <w:widowControl w:val="0"/>
        <w:numPr>
          <w:ilvl w:val="0"/>
          <w:numId w:val="11"/>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823174">
        <w:rPr>
          <w:rFonts w:asciiTheme="minorHAnsi" w:eastAsia="Calibri" w:hAnsiTheme="minorHAnsi" w:cstheme="minorHAnsi"/>
          <w:sz w:val="22"/>
          <w:szCs w:val="22"/>
          <w:lang w:eastAsia="en-US"/>
        </w:rPr>
        <w:t xml:space="preserve"> </w:t>
      </w:r>
      <w:r w:rsidRPr="00823174">
        <w:rPr>
          <w:rFonts w:asciiTheme="minorHAnsi" w:eastAsia="Calibri" w:hAnsiTheme="minorHAnsi" w:cstheme="minorHAnsi"/>
          <w:b/>
          <w:sz w:val="22"/>
          <w:szCs w:val="22"/>
          <w:u w:val="single"/>
          <w:lang w:eastAsia="en-US"/>
        </w:rPr>
        <w:t>Cita informācija:</w:t>
      </w:r>
    </w:p>
    <w:p w14:paraId="7CF248A6" w14:textId="438724D6" w:rsidR="00DB5AF4" w:rsidRPr="00823174" w:rsidRDefault="00107A11" w:rsidP="00107A11">
      <w:pPr>
        <w:pStyle w:val="ListParagraph"/>
        <w:numPr>
          <w:ilvl w:val="1"/>
          <w:numId w:val="11"/>
        </w:numPr>
        <w:tabs>
          <w:tab w:val="left" w:pos="18"/>
          <w:tab w:val="left" w:pos="284"/>
          <w:tab w:val="left" w:pos="426"/>
        </w:tabs>
        <w:spacing w:before="120" w:after="120"/>
        <w:ind w:left="0" w:firstLine="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Iepirkuma komisija pieņēma lēmumu pārtraukt iepirkuma 1.daļu, jo tai jāveic būtiski labojumi iepirkuma dokumentācijā, ko nav iespējams izdarīt šī iepirkuma norises laikā: </w:t>
      </w:r>
      <w:r w:rsidRPr="00107A11">
        <w:rPr>
          <w:rFonts w:asciiTheme="minorHAnsi" w:eastAsia="Calibri" w:hAnsiTheme="minorHAnsi" w:cstheme="minorHAnsi"/>
          <w:sz w:val="22"/>
          <w:szCs w:val="22"/>
          <w:lang w:eastAsia="en-US"/>
        </w:rPr>
        <w:t>jāveic labojumi tehniskajā specifikācijā a</w:t>
      </w:r>
      <w:r>
        <w:rPr>
          <w:rFonts w:asciiTheme="minorHAnsi" w:eastAsia="Calibri" w:hAnsiTheme="minorHAnsi" w:cstheme="minorHAnsi"/>
          <w:sz w:val="22"/>
          <w:szCs w:val="22"/>
          <w:lang w:eastAsia="en-US"/>
        </w:rPr>
        <w:t>t</w:t>
      </w:r>
      <w:r w:rsidRPr="00107A11">
        <w:rPr>
          <w:rFonts w:asciiTheme="minorHAnsi" w:eastAsia="Calibri" w:hAnsiTheme="minorHAnsi" w:cstheme="minorHAnsi"/>
          <w:sz w:val="22"/>
          <w:szCs w:val="22"/>
          <w:lang w:eastAsia="en-US"/>
        </w:rPr>
        <w:t xml:space="preserve">tiecībā uz </w:t>
      </w:r>
      <w:proofErr w:type="spellStart"/>
      <w:r w:rsidRPr="00107A11">
        <w:rPr>
          <w:rFonts w:asciiTheme="minorHAnsi" w:eastAsia="Calibri" w:hAnsiTheme="minorHAnsi" w:cstheme="minorHAnsi"/>
          <w:sz w:val="22"/>
          <w:szCs w:val="22"/>
          <w:lang w:eastAsia="en-US"/>
        </w:rPr>
        <w:t>paškopējošām</w:t>
      </w:r>
      <w:proofErr w:type="spellEnd"/>
      <w:r w:rsidRPr="00107A11">
        <w:rPr>
          <w:rFonts w:asciiTheme="minorHAnsi" w:eastAsia="Calibri" w:hAnsiTheme="minorHAnsi" w:cstheme="minorHAnsi"/>
          <w:sz w:val="22"/>
          <w:szCs w:val="22"/>
          <w:lang w:eastAsia="en-US"/>
        </w:rPr>
        <w:t xml:space="preserve"> veidlapām, to </w:t>
      </w:r>
      <w:proofErr w:type="spellStart"/>
      <w:r w:rsidRPr="00107A11">
        <w:rPr>
          <w:rFonts w:asciiTheme="minorHAnsi" w:eastAsia="Calibri" w:hAnsiTheme="minorHAnsi" w:cstheme="minorHAnsi"/>
          <w:sz w:val="22"/>
          <w:szCs w:val="22"/>
          <w:lang w:eastAsia="en-US"/>
        </w:rPr>
        <w:t>gr</w:t>
      </w:r>
      <w:r w:rsidR="00A67BD5">
        <w:rPr>
          <w:rFonts w:asciiTheme="minorHAnsi" w:eastAsia="Calibri" w:hAnsiTheme="minorHAnsi" w:cstheme="minorHAnsi"/>
          <w:sz w:val="22"/>
          <w:szCs w:val="22"/>
          <w:lang w:eastAsia="en-US"/>
        </w:rPr>
        <w:t>a</w:t>
      </w:r>
      <w:r w:rsidRPr="00107A11">
        <w:rPr>
          <w:rFonts w:asciiTheme="minorHAnsi" w:eastAsia="Calibri" w:hAnsiTheme="minorHAnsi" w:cstheme="minorHAnsi"/>
          <w:sz w:val="22"/>
          <w:szCs w:val="22"/>
          <w:lang w:eastAsia="en-US"/>
        </w:rPr>
        <w:t>m</w:t>
      </w:r>
      <w:r w:rsidR="00A67BD5">
        <w:rPr>
          <w:rFonts w:asciiTheme="minorHAnsi" w:eastAsia="Calibri" w:hAnsiTheme="minorHAnsi" w:cstheme="minorHAnsi"/>
          <w:sz w:val="22"/>
          <w:szCs w:val="22"/>
          <w:lang w:eastAsia="en-US"/>
        </w:rPr>
        <w:t>ā</w:t>
      </w:r>
      <w:r w:rsidRPr="00107A11">
        <w:rPr>
          <w:rFonts w:asciiTheme="minorHAnsi" w:eastAsia="Calibri" w:hAnsiTheme="minorHAnsi" w:cstheme="minorHAnsi"/>
          <w:sz w:val="22"/>
          <w:szCs w:val="22"/>
          <w:lang w:eastAsia="en-US"/>
        </w:rPr>
        <w:t>žu</w:t>
      </w:r>
      <w:proofErr w:type="spellEnd"/>
      <w:r w:rsidRPr="00107A11">
        <w:rPr>
          <w:rFonts w:asciiTheme="minorHAnsi" w:eastAsia="Calibri" w:hAnsiTheme="minorHAnsi" w:cstheme="minorHAnsi"/>
          <w:sz w:val="22"/>
          <w:szCs w:val="22"/>
          <w:lang w:eastAsia="en-US"/>
        </w:rPr>
        <w:t xml:space="preserve"> (44., 84., 86. pozīcijā),  kā arī </w:t>
      </w:r>
      <w:proofErr w:type="spellStart"/>
      <w:r w:rsidRPr="00107A11">
        <w:rPr>
          <w:rFonts w:asciiTheme="minorHAnsi" w:eastAsia="Calibri" w:hAnsiTheme="minorHAnsi" w:cstheme="minorHAnsi"/>
          <w:sz w:val="22"/>
          <w:szCs w:val="22"/>
          <w:lang w:eastAsia="en-US"/>
        </w:rPr>
        <w:t>specfikācij</w:t>
      </w:r>
      <w:r>
        <w:rPr>
          <w:rFonts w:asciiTheme="minorHAnsi" w:eastAsia="Calibri" w:hAnsiTheme="minorHAnsi" w:cstheme="minorHAnsi"/>
          <w:sz w:val="22"/>
          <w:szCs w:val="22"/>
          <w:lang w:eastAsia="en-US"/>
        </w:rPr>
        <w:t>ā</w:t>
      </w:r>
      <w:proofErr w:type="spellEnd"/>
      <w:r w:rsidRPr="00107A11">
        <w:rPr>
          <w:rFonts w:asciiTheme="minorHAnsi" w:eastAsia="Calibri" w:hAnsiTheme="minorHAnsi" w:cstheme="minorHAnsi"/>
          <w:sz w:val="22"/>
          <w:szCs w:val="22"/>
          <w:lang w:eastAsia="en-US"/>
        </w:rPr>
        <w:t xml:space="preserve"> 51. pozīcijai (nepieciešama abpusējā </w:t>
      </w:r>
      <w:proofErr w:type="spellStart"/>
      <w:r w:rsidRPr="00107A11">
        <w:rPr>
          <w:rFonts w:asciiTheme="minorHAnsi" w:eastAsia="Calibri" w:hAnsiTheme="minorHAnsi" w:cstheme="minorHAnsi"/>
          <w:sz w:val="22"/>
          <w:szCs w:val="22"/>
          <w:lang w:eastAsia="en-US"/>
        </w:rPr>
        <w:t>digitāldruka</w:t>
      </w:r>
      <w:proofErr w:type="spellEnd"/>
      <w:r w:rsidRPr="00107A11">
        <w:rPr>
          <w:rFonts w:asciiTheme="minorHAnsi" w:eastAsia="Calibri" w:hAnsiTheme="minorHAnsi" w:cstheme="minorHAnsi"/>
          <w:sz w:val="22"/>
          <w:szCs w:val="22"/>
          <w:lang w:eastAsia="en-US"/>
        </w:rPr>
        <w:t xml:space="preserve">  </w:t>
      </w:r>
      <w:proofErr w:type="spellStart"/>
      <w:r w:rsidRPr="00107A11">
        <w:rPr>
          <w:rFonts w:asciiTheme="minorHAnsi" w:eastAsia="Calibri" w:hAnsiTheme="minorHAnsi" w:cstheme="minorHAnsi"/>
          <w:sz w:val="22"/>
          <w:szCs w:val="22"/>
          <w:lang w:eastAsia="en-US"/>
        </w:rPr>
        <w:t>iekšlapām</w:t>
      </w:r>
      <w:proofErr w:type="spellEnd"/>
      <w:r w:rsidRPr="00107A11">
        <w:rPr>
          <w:rFonts w:asciiTheme="minorHAnsi" w:eastAsia="Calibri" w:hAnsiTheme="minorHAnsi" w:cstheme="minorHAnsi"/>
          <w:sz w:val="22"/>
          <w:szCs w:val="22"/>
          <w:lang w:eastAsia="en-US"/>
        </w:rPr>
        <w:t xml:space="preserve"> -1+1, nevis vienpusēja  1+0 kā norādīts specifikācijā), u.c. labojumi. Nepieciešams arī precizēt vairākās  pozīcijās nepieciešamo veidlapu skaitu (apjomu)</w:t>
      </w:r>
      <w:r>
        <w:rPr>
          <w:rFonts w:asciiTheme="minorHAnsi" w:eastAsia="Calibri" w:hAnsiTheme="minorHAnsi" w:cstheme="minorHAnsi"/>
          <w:sz w:val="22"/>
          <w:szCs w:val="22"/>
          <w:lang w:eastAsia="en-US"/>
        </w:rPr>
        <w:t xml:space="preserve">. Iepirkumu komisija veiks labojumus iepirkuma dokumentācijā un izsludinās atkārtotu  iepirkumu par šo iepirkuma daļu. </w:t>
      </w:r>
    </w:p>
    <w:p w14:paraId="3B13A8B1" w14:textId="2ECDC36B" w:rsidR="00DA3574" w:rsidRPr="00823174" w:rsidRDefault="00DB5AF4" w:rsidP="00107A11">
      <w:pPr>
        <w:pStyle w:val="ListParagraph"/>
        <w:numPr>
          <w:ilvl w:val="1"/>
          <w:numId w:val="11"/>
        </w:numPr>
        <w:tabs>
          <w:tab w:val="left" w:pos="18"/>
          <w:tab w:val="left" w:pos="284"/>
          <w:tab w:val="left" w:pos="426"/>
        </w:tabs>
        <w:spacing w:before="120" w:after="120"/>
        <w:ind w:left="0" w:firstLine="0"/>
        <w:jc w:val="both"/>
        <w:rPr>
          <w:rFonts w:asciiTheme="minorHAnsi" w:eastAsia="Calibri" w:hAnsiTheme="minorHAnsi" w:cstheme="minorHAnsi"/>
          <w:sz w:val="22"/>
          <w:szCs w:val="22"/>
          <w:lang w:eastAsia="en-US"/>
        </w:rPr>
      </w:pPr>
      <w:r w:rsidRPr="00823174">
        <w:rPr>
          <w:rFonts w:asciiTheme="minorHAnsi" w:eastAsia="Calibri" w:hAnsiTheme="minorHAnsi" w:cstheme="minorHAnsi"/>
          <w:sz w:val="22"/>
          <w:szCs w:val="22"/>
          <w:lang w:eastAsia="en-US"/>
        </w:rPr>
        <w:t xml:space="preserve">Pretendents, kurš iesniedzis piedāvājumu iepirkumā, uz ko attiecas </w:t>
      </w:r>
      <w:r w:rsidR="00107A11" w:rsidRPr="00107A11">
        <w:rPr>
          <w:rFonts w:asciiTheme="minorHAnsi" w:eastAsia="Calibri" w:hAnsiTheme="minorHAnsi" w:cstheme="minorHAnsi"/>
          <w:sz w:val="22"/>
          <w:szCs w:val="22"/>
          <w:lang w:eastAsia="en-US"/>
        </w:rPr>
        <w:t xml:space="preserve">Publisko iepirkumu likuma 9. panta </w:t>
      </w:r>
      <w:r w:rsidRPr="00823174">
        <w:rPr>
          <w:rFonts w:asciiTheme="minorHAnsi" w:eastAsia="Calibri" w:hAnsiTheme="minorHAnsi" w:cstheme="minorHAnsi"/>
          <w:sz w:val="22"/>
          <w:szCs w:val="22"/>
          <w:lang w:eastAsia="en-US"/>
        </w:rPr>
        <w:t xml:space="preserve">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w:t>
      </w:r>
      <w:r w:rsidRPr="00823174">
        <w:rPr>
          <w:rFonts w:asciiTheme="minorHAnsi" w:eastAsia="Calibri" w:hAnsiTheme="minorHAnsi" w:cstheme="minorHAnsi"/>
          <w:sz w:val="22"/>
          <w:szCs w:val="22"/>
          <w:lang w:eastAsia="en-US"/>
        </w:rPr>
        <w:lastRenderedPageBreak/>
        <w:t>kasācijas kārtībā Augstākās tiesas Administratīvo lietu departamentā. Lēmuma pārsūdzēšana neaptur tā darbību.</w:t>
      </w:r>
    </w:p>
    <w:p w14:paraId="29C0E5C2" w14:textId="77777777" w:rsidR="004677A3" w:rsidRDefault="004677A3" w:rsidP="00107A11">
      <w:pPr>
        <w:tabs>
          <w:tab w:val="left" w:pos="18"/>
          <w:tab w:val="left" w:pos="284"/>
          <w:tab w:val="left" w:pos="426"/>
        </w:tabs>
        <w:spacing w:before="120" w:after="120"/>
        <w:contextualSpacing/>
        <w:jc w:val="both"/>
        <w:rPr>
          <w:rFonts w:asciiTheme="minorHAnsi" w:eastAsia="Calibri" w:hAnsiTheme="minorHAnsi" w:cstheme="minorHAnsi"/>
          <w:sz w:val="22"/>
          <w:szCs w:val="22"/>
          <w:lang w:eastAsia="en-US"/>
        </w:rPr>
      </w:pPr>
      <w:bookmarkStart w:id="0" w:name="_GoBack"/>
      <w:bookmarkEnd w:id="0"/>
    </w:p>
    <w:sectPr w:rsidR="004677A3"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8DF35" w14:textId="77777777" w:rsidR="0080078B" w:rsidRDefault="0080078B">
      <w:r>
        <w:separator/>
      </w:r>
    </w:p>
  </w:endnote>
  <w:endnote w:type="continuationSeparator" w:id="0">
    <w:p w14:paraId="052F795B" w14:textId="77777777" w:rsidR="0080078B" w:rsidRDefault="0080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257BED">
      <w:rPr>
        <w:noProof/>
      </w:rPr>
      <w:t>2</w:t>
    </w:r>
    <w:r>
      <w:fldChar w:fldCharType="end"/>
    </w:r>
  </w:p>
  <w:p w14:paraId="70C54679" w14:textId="77777777" w:rsidR="00AD2BB2" w:rsidRDefault="0080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C9CBC" w14:textId="77777777" w:rsidR="0080078B" w:rsidRDefault="0080078B">
      <w:r>
        <w:separator/>
      </w:r>
    </w:p>
  </w:footnote>
  <w:footnote w:type="continuationSeparator" w:id="0">
    <w:p w14:paraId="775255B0" w14:textId="77777777" w:rsidR="0080078B" w:rsidRDefault="0080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D576FA"/>
    <w:multiLevelType w:val="multilevel"/>
    <w:tmpl w:val="5ACA4F76"/>
    <w:lvl w:ilvl="0">
      <w:start w:val="1"/>
      <w:numFmt w:val="decimal"/>
      <w:lvlText w:val="%1."/>
      <w:lvlJc w:val="left"/>
      <w:pPr>
        <w:ind w:left="720" w:hanging="360"/>
      </w:pPr>
      <w:rPr>
        <w:rFonts w:ascii="Times New Roman" w:hAnsi="Times New Roman" w:cs="Times New Roman" w:hint="default"/>
        <w:b/>
        <w:color w:val="000000"/>
        <w:sz w:val="24"/>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2">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12"/>
  </w:num>
  <w:num w:numId="8">
    <w:abstractNumId w:val="2"/>
  </w:num>
  <w:num w:numId="9">
    <w:abstractNumId w:val="13"/>
  </w:num>
  <w:num w:numId="10">
    <w:abstractNumId w:val="10"/>
  </w:num>
  <w:num w:numId="11">
    <w:abstractNumId w:val="7"/>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07A11"/>
    <w:rsid w:val="001136EF"/>
    <w:rsid w:val="00154ABB"/>
    <w:rsid w:val="0016406E"/>
    <w:rsid w:val="001676CC"/>
    <w:rsid w:val="0018488A"/>
    <w:rsid w:val="001A3D5B"/>
    <w:rsid w:val="001D36FF"/>
    <w:rsid w:val="001E0D56"/>
    <w:rsid w:val="001E3CA3"/>
    <w:rsid w:val="001F664D"/>
    <w:rsid w:val="00210273"/>
    <w:rsid w:val="00257BED"/>
    <w:rsid w:val="00262626"/>
    <w:rsid w:val="002646F3"/>
    <w:rsid w:val="002749C8"/>
    <w:rsid w:val="00275A46"/>
    <w:rsid w:val="002C176E"/>
    <w:rsid w:val="002C1994"/>
    <w:rsid w:val="002C43BF"/>
    <w:rsid w:val="002D52A0"/>
    <w:rsid w:val="002F7F04"/>
    <w:rsid w:val="00306B3C"/>
    <w:rsid w:val="003131D3"/>
    <w:rsid w:val="00377302"/>
    <w:rsid w:val="003830EA"/>
    <w:rsid w:val="003A0CD7"/>
    <w:rsid w:val="003B266F"/>
    <w:rsid w:val="003D6198"/>
    <w:rsid w:val="003D775C"/>
    <w:rsid w:val="004226B2"/>
    <w:rsid w:val="00446F61"/>
    <w:rsid w:val="004677A3"/>
    <w:rsid w:val="00486261"/>
    <w:rsid w:val="004E043D"/>
    <w:rsid w:val="00507B77"/>
    <w:rsid w:val="00523801"/>
    <w:rsid w:val="00576A3B"/>
    <w:rsid w:val="00577338"/>
    <w:rsid w:val="0058511B"/>
    <w:rsid w:val="005A64F5"/>
    <w:rsid w:val="005B61AE"/>
    <w:rsid w:val="005D64E1"/>
    <w:rsid w:val="005E1C34"/>
    <w:rsid w:val="005E7189"/>
    <w:rsid w:val="005F6DFA"/>
    <w:rsid w:val="006002FE"/>
    <w:rsid w:val="00611D20"/>
    <w:rsid w:val="00612821"/>
    <w:rsid w:val="00624D7C"/>
    <w:rsid w:val="00627E49"/>
    <w:rsid w:val="006521E6"/>
    <w:rsid w:val="006E33CB"/>
    <w:rsid w:val="0071259F"/>
    <w:rsid w:val="00713179"/>
    <w:rsid w:val="0078343F"/>
    <w:rsid w:val="007A076C"/>
    <w:rsid w:val="007A2D46"/>
    <w:rsid w:val="007B42FF"/>
    <w:rsid w:val="007B50AC"/>
    <w:rsid w:val="007D7665"/>
    <w:rsid w:val="007F585D"/>
    <w:rsid w:val="0080078B"/>
    <w:rsid w:val="00815AA0"/>
    <w:rsid w:val="00823174"/>
    <w:rsid w:val="00824A27"/>
    <w:rsid w:val="008277B9"/>
    <w:rsid w:val="008357D6"/>
    <w:rsid w:val="008962B8"/>
    <w:rsid w:val="00896AF4"/>
    <w:rsid w:val="008A284A"/>
    <w:rsid w:val="008F5E65"/>
    <w:rsid w:val="009179F5"/>
    <w:rsid w:val="00946AA3"/>
    <w:rsid w:val="0096323B"/>
    <w:rsid w:val="00975EF2"/>
    <w:rsid w:val="009D77FD"/>
    <w:rsid w:val="009E0AFF"/>
    <w:rsid w:val="00A17C16"/>
    <w:rsid w:val="00A348E0"/>
    <w:rsid w:val="00A35519"/>
    <w:rsid w:val="00A36CAB"/>
    <w:rsid w:val="00A522AE"/>
    <w:rsid w:val="00A67BD5"/>
    <w:rsid w:val="00AD0FFA"/>
    <w:rsid w:val="00B3470C"/>
    <w:rsid w:val="00B8388E"/>
    <w:rsid w:val="00B84F68"/>
    <w:rsid w:val="00BB14F6"/>
    <w:rsid w:val="00BB3031"/>
    <w:rsid w:val="00BD47F3"/>
    <w:rsid w:val="00C304CC"/>
    <w:rsid w:val="00C30C45"/>
    <w:rsid w:val="00C418F1"/>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E42AA"/>
    <w:rsid w:val="00EF41C1"/>
    <w:rsid w:val="00F15E0B"/>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B078-5CFD-47FF-918A-692EC36E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2017-06-14T06:04:00Z</cp:lastPrinted>
  <dcterms:created xsi:type="dcterms:W3CDTF">2017-06-15T08:44:00Z</dcterms:created>
  <dcterms:modified xsi:type="dcterms:W3CDTF">2017-06-15T08:44:00Z</dcterms:modified>
</cp:coreProperties>
</file>