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A8EEE" w14:textId="77777777" w:rsidR="00DA3574" w:rsidRPr="00656978" w:rsidRDefault="00DA3574" w:rsidP="005F041F">
      <w:pPr>
        <w:pStyle w:val="BodyText3"/>
        <w:jc w:val="left"/>
        <w:rPr>
          <w:rFonts w:asciiTheme="minorHAnsi" w:eastAsia="Calibri" w:hAnsiTheme="minorHAnsi" w:cstheme="minorHAnsi"/>
          <w:b w:val="0"/>
          <w:sz w:val="22"/>
          <w:szCs w:val="22"/>
        </w:rPr>
      </w:pPr>
    </w:p>
    <w:p w14:paraId="1F98BD56" w14:textId="77777777" w:rsidR="00CC7CFE" w:rsidRPr="00656978" w:rsidRDefault="00CC7CFE" w:rsidP="005F041F">
      <w:pPr>
        <w:pStyle w:val="BodyText3"/>
        <w:rPr>
          <w:rFonts w:asciiTheme="minorHAnsi" w:hAnsiTheme="minorHAnsi" w:cstheme="minorHAnsi"/>
          <w:sz w:val="22"/>
          <w:szCs w:val="22"/>
        </w:rPr>
      </w:pPr>
      <w:r w:rsidRPr="00656978">
        <w:rPr>
          <w:rFonts w:asciiTheme="minorHAnsi" w:hAnsiTheme="minorHAnsi" w:cstheme="minorHAnsi"/>
          <w:sz w:val="22"/>
          <w:szCs w:val="22"/>
        </w:rPr>
        <w:t xml:space="preserve">Paziņojums par lēmumu </w:t>
      </w:r>
    </w:p>
    <w:p w14:paraId="49DF2055" w14:textId="77777777" w:rsidR="00A522AE" w:rsidRPr="00656978" w:rsidRDefault="00CC7CFE" w:rsidP="005F041F">
      <w:pPr>
        <w:pStyle w:val="BodyText3"/>
        <w:rPr>
          <w:rFonts w:asciiTheme="minorHAnsi" w:hAnsiTheme="minorHAnsi" w:cstheme="minorHAnsi"/>
          <w:b w:val="0"/>
          <w:sz w:val="22"/>
          <w:szCs w:val="22"/>
        </w:rPr>
      </w:pPr>
      <w:r w:rsidRPr="00656978">
        <w:rPr>
          <w:rFonts w:asciiTheme="minorHAnsi" w:hAnsiTheme="minorHAnsi" w:cstheme="minorHAnsi"/>
          <w:b w:val="0"/>
          <w:sz w:val="22"/>
          <w:szCs w:val="22"/>
        </w:rPr>
        <w:t>Publisko iepirkumu likuma 8.</w:t>
      </w:r>
      <w:r w:rsidR="00073F78" w:rsidRPr="00656978">
        <w:rPr>
          <w:rFonts w:asciiTheme="minorHAnsi" w:hAnsiTheme="minorHAnsi" w:cstheme="minorHAnsi"/>
          <w:b w:val="0"/>
          <w:sz w:val="22"/>
          <w:szCs w:val="22"/>
          <w:vertAlign w:val="superscript"/>
        </w:rPr>
        <w:t>2</w:t>
      </w:r>
      <w:r w:rsidR="003D6198" w:rsidRPr="00656978">
        <w:rPr>
          <w:rFonts w:asciiTheme="minorHAnsi" w:hAnsiTheme="minorHAnsi" w:cstheme="minorHAnsi"/>
          <w:b w:val="0"/>
          <w:sz w:val="22"/>
          <w:szCs w:val="22"/>
        </w:rPr>
        <w:t xml:space="preserve"> panta</w:t>
      </w:r>
      <w:r w:rsidRPr="00656978">
        <w:rPr>
          <w:rFonts w:asciiTheme="minorHAnsi" w:hAnsiTheme="minorHAnsi" w:cstheme="minorHAnsi"/>
          <w:b w:val="0"/>
          <w:sz w:val="22"/>
          <w:szCs w:val="22"/>
        </w:rPr>
        <w:t xml:space="preserve"> iepirkum</w:t>
      </w:r>
      <w:r w:rsidR="007B42FF" w:rsidRPr="00656978">
        <w:rPr>
          <w:rFonts w:asciiTheme="minorHAnsi" w:hAnsiTheme="minorHAnsi" w:cstheme="minorHAnsi"/>
          <w:b w:val="0"/>
          <w:sz w:val="22"/>
          <w:szCs w:val="22"/>
        </w:rPr>
        <w:t>am</w:t>
      </w:r>
    </w:p>
    <w:p w14:paraId="20BB683A" w14:textId="76FE4CFB" w:rsidR="00937A34" w:rsidRDefault="00CE3821" w:rsidP="005F041F">
      <w:pPr>
        <w:pStyle w:val="BodyText3"/>
        <w:rPr>
          <w:rFonts w:asciiTheme="minorHAnsi" w:hAnsiTheme="minorHAnsi" w:cstheme="minorHAnsi"/>
          <w:sz w:val="22"/>
          <w:szCs w:val="22"/>
        </w:rPr>
      </w:pPr>
      <w:r w:rsidRPr="00CE3821">
        <w:rPr>
          <w:rFonts w:asciiTheme="minorHAnsi" w:hAnsiTheme="minorHAnsi" w:cstheme="minorHAnsi"/>
          <w:sz w:val="22"/>
          <w:szCs w:val="22"/>
        </w:rPr>
        <w:t>SAIMNIECĪBAS  PREČU PIEGĀDE SIA „JŪRMALAS SLIMNĪCA” VAJADZĪBĀM</w:t>
      </w:r>
    </w:p>
    <w:p w14:paraId="60CA1799" w14:textId="1D6D0893" w:rsidR="00CE3821" w:rsidRPr="00937A34" w:rsidRDefault="00CE3821" w:rsidP="005F041F">
      <w:pPr>
        <w:pStyle w:val="BodyText3"/>
        <w:rPr>
          <w:rFonts w:asciiTheme="minorHAnsi" w:hAnsiTheme="minorHAnsi" w:cstheme="minorHAnsi"/>
          <w:sz w:val="22"/>
          <w:szCs w:val="22"/>
        </w:rPr>
      </w:pPr>
      <w:r w:rsidRPr="00CE3821">
        <w:rPr>
          <w:rFonts w:asciiTheme="minorHAnsi" w:hAnsiTheme="minorHAnsi" w:cstheme="minorHAnsi"/>
          <w:sz w:val="22"/>
          <w:szCs w:val="22"/>
        </w:rPr>
        <w:t>SIAJS2017/3</w:t>
      </w:r>
    </w:p>
    <w:p w14:paraId="49E4010E" w14:textId="06BEB341" w:rsidR="00CC7CFE" w:rsidRPr="00656978" w:rsidRDefault="00CC7CFE" w:rsidP="005F041F">
      <w:pPr>
        <w:numPr>
          <w:ilvl w:val="0"/>
          <w:numId w:val="3"/>
        </w:numPr>
        <w:tabs>
          <w:tab w:val="left" w:pos="426"/>
        </w:tabs>
        <w:ind w:left="0" w:firstLine="0"/>
        <w:jc w:val="both"/>
        <w:rPr>
          <w:rFonts w:asciiTheme="minorHAnsi" w:hAnsiTheme="minorHAnsi" w:cstheme="minorHAnsi"/>
          <w:b/>
          <w:sz w:val="22"/>
          <w:szCs w:val="22"/>
          <w:u w:val="single"/>
        </w:rPr>
      </w:pPr>
      <w:r w:rsidRPr="00656978">
        <w:rPr>
          <w:rFonts w:asciiTheme="minorHAnsi" w:hAnsiTheme="minorHAnsi" w:cstheme="minorHAnsi"/>
          <w:b/>
          <w:sz w:val="22"/>
          <w:szCs w:val="22"/>
          <w:u w:val="single"/>
        </w:rPr>
        <w:t>Pretendentu nosaukumi un piedāvātās līgumcenas: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59"/>
        <w:gridCol w:w="1070"/>
        <w:gridCol w:w="1345"/>
        <w:gridCol w:w="1196"/>
        <w:gridCol w:w="1228"/>
        <w:gridCol w:w="1061"/>
        <w:gridCol w:w="1079"/>
      </w:tblGrid>
      <w:tr w:rsidR="00CE3821" w:rsidRPr="00124BE5" w14:paraId="2FEBDA6B" w14:textId="77777777" w:rsidTr="00124BE5">
        <w:trPr>
          <w:trHeight w:val="20"/>
          <w:tblHeader/>
        </w:trPr>
        <w:tc>
          <w:tcPr>
            <w:tcW w:w="242" w:type="pct"/>
            <w:vMerge w:val="restart"/>
            <w:vAlign w:val="center"/>
          </w:tcPr>
          <w:p w14:paraId="7B6F71FA" w14:textId="14DC2575" w:rsidR="00CE3821" w:rsidRPr="00124BE5" w:rsidRDefault="00CE3821" w:rsidP="005F041F">
            <w:pPr>
              <w:widowControl w:val="0"/>
              <w:pBdr>
                <w:bar w:val="single" w:sz="4" w:color="auto"/>
              </w:pBdr>
              <w:autoSpaceDE w:val="0"/>
              <w:autoSpaceDN w:val="0"/>
              <w:adjustRightInd w:val="0"/>
              <w:jc w:val="center"/>
              <w:rPr>
                <w:b/>
                <w:sz w:val="18"/>
                <w:szCs w:val="18"/>
              </w:rPr>
            </w:pPr>
            <w:proofErr w:type="spellStart"/>
            <w:r w:rsidRPr="00124BE5">
              <w:rPr>
                <w:b/>
                <w:sz w:val="18"/>
                <w:szCs w:val="18"/>
              </w:rPr>
              <w:t>Nr</w:t>
            </w:r>
            <w:proofErr w:type="spellEnd"/>
          </w:p>
        </w:tc>
        <w:tc>
          <w:tcPr>
            <w:tcW w:w="1001" w:type="pct"/>
            <w:vMerge w:val="restart"/>
            <w:vAlign w:val="center"/>
          </w:tcPr>
          <w:p w14:paraId="7D747050"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Pretendents</w:t>
            </w:r>
          </w:p>
        </w:tc>
        <w:tc>
          <w:tcPr>
            <w:tcW w:w="3757" w:type="pct"/>
            <w:gridSpan w:val="6"/>
            <w:vAlign w:val="center"/>
          </w:tcPr>
          <w:p w14:paraId="7705ADDC"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Piedāvātā līgumcena EUR, bez PVN</w:t>
            </w:r>
          </w:p>
        </w:tc>
      </w:tr>
      <w:tr w:rsidR="00CE3821" w:rsidRPr="00124BE5" w14:paraId="03A541ED" w14:textId="77777777" w:rsidTr="00124BE5">
        <w:trPr>
          <w:trHeight w:val="20"/>
          <w:tblHeader/>
        </w:trPr>
        <w:tc>
          <w:tcPr>
            <w:tcW w:w="242" w:type="pct"/>
            <w:vMerge/>
            <w:vAlign w:val="center"/>
          </w:tcPr>
          <w:p w14:paraId="0626FA57" w14:textId="77777777" w:rsidR="00CE3821" w:rsidRPr="00124BE5" w:rsidRDefault="00CE3821" w:rsidP="005F041F">
            <w:pPr>
              <w:widowControl w:val="0"/>
              <w:pBdr>
                <w:bar w:val="single" w:sz="4" w:color="auto"/>
              </w:pBdr>
              <w:autoSpaceDE w:val="0"/>
              <w:autoSpaceDN w:val="0"/>
              <w:adjustRightInd w:val="0"/>
              <w:jc w:val="center"/>
              <w:rPr>
                <w:b/>
                <w:sz w:val="18"/>
                <w:szCs w:val="18"/>
              </w:rPr>
            </w:pPr>
          </w:p>
        </w:tc>
        <w:tc>
          <w:tcPr>
            <w:tcW w:w="1001" w:type="pct"/>
            <w:vMerge/>
            <w:vAlign w:val="center"/>
          </w:tcPr>
          <w:p w14:paraId="205E8950" w14:textId="77777777" w:rsidR="00CE3821" w:rsidRPr="00124BE5" w:rsidRDefault="00CE3821" w:rsidP="005F041F">
            <w:pPr>
              <w:widowControl w:val="0"/>
              <w:pBdr>
                <w:bar w:val="single" w:sz="4" w:color="auto"/>
              </w:pBdr>
              <w:autoSpaceDE w:val="0"/>
              <w:autoSpaceDN w:val="0"/>
              <w:adjustRightInd w:val="0"/>
              <w:jc w:val="center"/>
              <w:rPr>
                <w:b/>
                <w:sz w:val="18"/>
                <w:szCs w:val="18"/>
              </w:rPr>
            </w:pPr>
          </w:p>
        </w:tc>
        <w:tc>
          <w:tcPr>
            <w:tcW w:w="576" w:type="pct"/>
            <w:vAlign w:val="center"/>
          </w:tcPr>
          <w:p w14:paraId="65C69442"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 xml:space="preserve">Preces slimnīcas īpašumā esošajiem VERMOP divpusējiem </w:t>
            </w:r>
            <w:proofErr w:type="spellStart"/>
            <w:r w:rsidRPr="00124BE5">
              <w:rPr>
                <w:b/>
                <w:sz w:val="18"/>
                <w:szCs w:val="18"/>
              </w:rPr>
              <w:t>mopu</w:t>
            </w:r>
            <w:proofErr w:type="spellEnd"/>
            <w:r w:rsidRPr="00124BE5">
              <w:rPr>
                <w:b/>
                <w:sz w:val="18"/>
                <w:szCs w:val="18"/>
              </w:rPr>
              <w:t xml:space="preserve"> turētājiem</w:t>
            </w:r>
          </w:p>
        </w:tc>
        <w:tc>
          <w:tcPr>
            <w:tcW w:w="724" w:type="pct"/>
            <w:vAlign w:val="center"/>
          </w:tcPr>
          <w:p w14:paraId="0E328BC9" w14:textId="77777777" w:rsidR="00CE3821" w:rsidRPr="00124BE5" w:rsidRDefault="00CE3821" w:rsidP="005F041F">
            <w:pPr>
              <w:widowControl w:val="0"/>
              <w:pBdr>
                <w:bar w:val="single" w:sz="4" w:color="auto"/>
              </w:pBdr>
              <w:autoSpaceDE w:val="0"/>
              <w:autoSpaceDN w:val="0"/>
              <w:adjustRightInd w:val="0"/>
              <w:jc w:val="center"/>
              <w:rPr>
                <w:b/>
                <w:sz w:val="18"/>
                <w:szCs w:val="18"/>
              </w:rPr>
            </w:pPr>
            <w:proofErr w:type="spellStart"/>
            <w:r w:rsidRPr="00124BE5">
              <w:rPr>
                <w:b/>
                <w:color w:val="000000"/>
                <w:sz w:val="18"/>
                <w:szCs w:val="18"/>
                <w:lang w:val="en-US" w:eastAsia="en-US"/>
              </w:rPr>
              <w:t>Tīrīšanas</w:t>
            </w:r>
            <w:proofErr w:type="spellEnd"/>
            <w:r w:rsidRPr="00124BE5">
              <w:rPr>
                <w:b/>
                <w:color w:val="000000"/>
                <w:sz w:val="18"/>
                <w:szCs w:val="18"/>
                <w:lang w:val="en-US" w:eastAsia="en-US"/>
              </w:rPr>
              <w:t xml:space="preserve"> </w:t>
            </w:r>
            <w:proofErr w:type="spellStart"/>
            <w:r w:rsidRPr="00124BE5">
              <w:rPr>
                <w:b/>
                <w:color w:val="000000"/>
                <w:sz w:val="18"/>
                <w:szCs w:val="18"/>
                <w:lang w:val="en-US" w:eastAsia="en-US"/>
              </w:rPr>
              <w:t>līdzekļi</w:t>
            </w:r>
            <w:proofErr w:type="spellEnd"/>
          </w:p>
        </w:tc>
        <w:tc>
          <w:tcPr>
            <w:tcW w:w="644" w:type="pct"/>
            <w:vAlign w:val="center"/>
          </w:tcPr>
          <w:p w14:paraId="44294F66"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color w:val="000000"/>
                <w:sz w:val="18"/>
                <w:szCs w:val="18"/>
                <w:lang w:eastAsia="en-US"/>
              </w:rPr>
              <w:t>Mazgāšanas līdzekļi konvekcijas krāsnij "</w:t>
            </w:r>
            <w:proofErr w:type="spellStart"/>
            <w:r w:rsidRPr="00124BE5">
              <w:rPr>
                <w:b/>
                <w:color w:val="000000"/>
                <w:sz w:val="18"/>
                <w:szCs w:val="18"/>
                <w:lang w:eastAsia="en-US"/>
              </w:rPr>
              <w:t>Rational</w:t>
            </w:r>
            <w:proofErr w:type="spellEnd"/>
            <w:r w:rsidRPr="00124BE5">
              <w:rPr>
                <w:b/>
                <w:color w:val="000000"/>
                <w:sz w:val="18"/>
                <w:szCs w:val="18"/>
                <w:lang w:eastAsia="en-US"/>
              </w:rPr>
              <w:t>"</w:t>
            </w:r>
          </w:p>
        </w:tc>
        <w:tc>
          <w:tcPr>
            <w:tcW w:w="661" w:type="pct"/>
            <w:vAlign w:val="center"/>
          </w:tcPr>
          <w:p w14:paraId="7FD7CA6D"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Mazgāšanas un tīrīšanas līdzekļi  virtuves un kafejnīcas vajadzībām</w:t>
            </w:r>
          </w:p>
        </w:tc>
        <w:tc>
          <w:tcPr>
            <w:tcW w:w="571" w:type="pct"/>
            <w:vAlign w:val="center"/>
          </w:tcPr>
          <w:p w14:paraId="147DB7A7"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Uzkopšanas inventārs</w:t>
            </w:r>
          </w:p>
        </w:tc>
        <w:tc>
          <w:tcPr>
            <w:tcW w:w="581" w:type="pct"/>
            <w:vAlign w:val="center"/>
          </w:tcPr>
          <w:p w14:paraId="35FB457B"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Santehnikas piederumi</w:t>
            </w:r>
          </w:p>
        </w:tc>
      </w:tr>
      <w:tr w:rsidR="00CE3821" w:rsidRPr="00124BE5" w14:paraId="1BF864FA" w14:textId="77777777" w:rsidTr="00124BE5">
        <w:trPr>
          <w:trHeight w:val="20"/>
          <w:tblHeader/>
        </w:trPr>
        <w:tc>
          <w:tcPr>
            <w:tcW w:w="242" w:type="pct"/>
            <w:vMerge/>
            <w:vAlign w:val="center"/>
          </w:tcPr>
          <w:p w14:paraId="75DEC416" w14:textId="77777777" w:rsidR="00CE3821" w:rsidRPr="00124BE5" w:rsidRDefault="00CE3821" w:rsidP="005F041F">
            <w:pPr>
              <w:widowControl w:val="0"/>
              <w:pBdr>
                <w:bar w:val="single" w:sz="4" w:color="auto"/>
              </w:pBdr>
              <w:autoSpaceDE w:val="0"/>
              <w:autoSpaceDN w:val="0"/>
              <w:adjustRightInd w:val="0"/>
              <w:jc w:val="center"/>
              <w:rPr>
                <w:b/>
                <w:sz w:val="18"/>
                <w:szCs w:val="18"/>
              </w:rPr>
            </w:pPr>
          </w:p>
        </w:tc>
        <w:tc>
          <w:tcPr>
            <w:tcW w:w="1001" w:type="pct"/>
            <w:vMerge/>
            <w:vAlign w:val="center"/>
          </w:tcPr>
          <w:p w14:paraId="7E157986" w14:textId="77777777" w:rsidR="00CE3821" w:rsidRPr="00124BE5" w:rsidRDefault="00CE3821" w:rsidP="005F041F">
            <w:pPr>
              <w:widowControl w:val="0"/>
              <w:pBdr>
                <w:bar w:val="single" w:sz="4" w:color="auto"/>
              </w:pBdr>
              <w:autoSpaceDE w:val="0"/>
              <w:autoSpaceDN w:val="0"/>
              <w:adjustRightInd w:val="0"/>
              <w:jc w:val="center"/>
              <w:rPr>
                <w:b/>
                <w:sz w:val="18"/>
                <w:szCs w:val="18"/>
              </w:rPr>
            </w:pPr>
          </w:p>
        </w:tc>
        <w:tc>
          <w:tcPr>
            <w:tcW w:w="576" w:type="pct"/>
            <w:vAlign w:val="center"/>
          </w:tcPr>
          <w:p w14:paraId="18E3FB80"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1.daļa</w:t>
            </w:r>
          </w:p>
        </w:tc>
        <w:tc>
          <w:tcPr>
            <w:tcW w:w="724" w:type="pct"/>
            <w:vAlign w:val="center"/>
          </w:tcPr>
          <w:p w14:paraId="7D340DAD" w14:textId="77777777" w:rsidR="00CE3821" w:rsidRPr="00124BE5" w:rsidRDefault="00CE3821" w:rsidP="005F041F">
            <w:pPr>
              <w:widowControl w:val="0"/>
              <w:pBdr>
                <w:bar w:val="single" w:sz="4" w:color="auto"/>
              </w:pBdr>
              <w:autoSpaceDE w:val="0"/>
              <w:autoSpaceDN w:val="0"/>
              <w:adjustRightInd w:val="0"/>
              <w:jc w:val="center"/>
              <w:rPr>
                <w:b/>
                <w:color w:val="000000"/>
                <w:sz w:val="18"/>
                <w:szCs w:val="18"/>
                <w:lang w:val="en-US" w:eastAsia="en-US"/>
              </w:rPr>
            </w:pPr>
            <w:r w:rsidRPr="00124BE5">
              <w:rPr>
                <w:b/>
                <w:color w:val="000000"/>
                <w:sz w:val="18"/>
                <w:szCs w:val="18"/>
                <w:lang w:val="en-US" w:eastAsia="en-US"/>
              </w:rPr>
              <w:t>2.daļa</w:t>
            </w:r>
          </w:p>
        </w:tc>
        <w:tc>
          <w:tcPr>
            <w:tcW w:w="644" w:type="pct"/>
            <w:vAlign w:val="center"/>
          </w:tcPr>
          <w:p w14:paraId="50FD9E2F" w14:textId="77777777" w:rsidR="00CE3821" w:rsidRPr="00124BE5" w:rsidRDefault="00CE3821" w:rsidP="005F041F">
            <w:pPr>
              <w:widowControl w:val="0"/>
              <w:pBdr>
                <w:bar w:val="single" w:sz="4" w:color="auto"/>
              </w:pBdr>
              <w:autoSpaceDE w:val="0"/>
              <w:autoSpaceDN w:val="0"/>
              <w:adjustRightInd w:val="0"/>
              <w:jc w:val="center"/>
              <w:rPr>
                <w:b/>
                <w:color w:val="000000"/>
                <w:sz w:val="18"/>
                <w:szCs w:val="18"/>
                <w:lang w:eastAsia="en-US"/>
              </w:rPr>
            </w:pPr>
            <w:r w:rsidRPr="00124BE5">
              <w:rPr>
                <w:b/>
                <w:color w:val="000000"/>
                <w:sz w:val="18"/>
                <w:szCs w:val="18"/>
                <w:lang w:eastAsia="en-US"/>
              </w:rPr>
              <w:t>3.daļa</w:t>
            </w:r>
          </w:p>
        </w:tc>
        <w:tc>
          <w:tcPr>
            <w:tcW w:w="661" w:type="pct"/>
            <w:vAlign w:val="center"/>
          </w:tcPr>
          <w:p w14:paraId="2CAA4020"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4.daļa</w:t>
            </w:r>
          </w:p>
        </w:tc>
        <w:tc>
          <w:tcPr>
            <w:tcW w:w="571" w:type="pct"/>
            <w:vAlign w:val="center"/>
          </w:tcPr>
          <w:p w14:paraId="1A6AD74E"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5.daļa</w:t>
            </w:r>
          </w:p>
        </w:tc>
        <w:tc>
          <w:tcPr>
            <w:tcW w:w="581" w:type="pct"/>
            <w:vAlign w:val="center"/>
          </w:tcPr>
          <w:p w14:paraId="0FD29059" w14:textId="77777777" w:rsidR="00CE3821" w:rsidRPr="00124BE5" w:rsidRDefault="00CE3821" w:rsidP="005F041F">
            <w:pPr>
              <w:widowControl w:val="0"/>
              <w:pBdr>
                <w:bar w:val="single" w:sz="4" w:color="auto"/>
              </w:pBdr>
              <w:autoSpaceDE w:val="0"/>
              <w:autoSpaceDN w:val="0"/>
              <w:adjustRightInd w:val="0"/>
              <w:jc w:val="center"/>
              <w:rPr>
                <w:b/>
                <w:sz w:val="18"/>
                <w:szCs w:val="18"/>
              </w:rPr>
            </w:pPr>
            <w:r w:rsidRPr="00124BE5">
              <w:rPr>
                <w:b/>
                <w:sz w:val="18"/>
                <w:szCs w:val="18"/>
              </w:rPr>
              <w:t>7.daļa</w:t>
            </w:r>
          </w:p>
        </w:tc>
      </w:tr>
      <w:tr w:rsidR="00CE3821" w:rsidRPr="00124BE5" w14:paraId="78CAF974" w14:textId="77777777" w:rsidTr="00124BE5">
        <w:trPr>
          <w:trHeight w:val="20"/>
          <w:tblHeader/>
        </w:trPr>
        <w:tc>
          <w:tcPr>
            <w:tcW w:w="242" w:type="pct"/>
            <w:vAlign w:val="center"/>
          </w:tcPr>
          <w:p w14:paraId="2346789B"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618D851C"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w:t>
            </w:r>
            <w:proofErr w:type="spellStart"/>
            <w:r w:rsidRPr="00124BE5">
              <w:rPr>
                <w:sz w:val="18"/>
                <w:szCs w:val="18"/>
              </w:rPr>
              <w:t>Rekal</w:t>
            </w:r>
            <w:proofErr w:type="spellEnd"/>
            <w:r w:rsidRPr="00124BE5">
              <w:rPr>
                <w:sz w:val="18"/>
                <w:szCs w:val="18"/>
              </w:rPr>
              <w:t>”</w:t>
            </w:r>
          </w:p>
        </w:tc>
        <w:tc>
          <w:tcPr>
            <w:tcW w:w="576" w:type="pct"/>
            <w:vAlign w:val="center"/>
          </w:tcPr>
          <w:p w14:paraId="0D3862DC"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473543AD"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61720EB3"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209.00</w:t>
            </w:r>
          </w:p>
        </w:tc>
        <w:tc>
          <w:tcPr>
            <w:tcW w:w="661" w:type="pct"/>
            <w:vAlign w:val="center"/>
          </w:tcPr>
          <w:p w14:paraId="6FAAD479"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1419.80</w:t>
            </w:r>
          </w:p>
        </w:tc>
        <w:tc>
          <w:tcPr>
            <w:tcW w:w="571" w:type="pct"/>
            <w:vAlign w:val="center"/>
          </w:tcPr>
          <w:p w14:paraId="07A611E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090AA790"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0373F1BB" w14:textId="77777777" w:rsidTr="00124BE5">
        <w:trPr>
          <w:trHeight w:val="20"/>
          <w:tblHeader/>
        </w:trPr>
        <w:tc>
          <w:tcPr>
            <w:tcW w:w="242" w:type="pct"/>
            <w:vAlign w:val="center"/>
          </w:tcPr>
          <w:p w14:paraId="1DD0D58C"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6F9D1FD1"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 xml:space="preserve">SIA </w:t>
            </w:r>
            <w:proofErr w:type="spellStart"/>
            <w:r w:rsidRPr="00124BE5">
              <w:rPr>
                <w:sz w:val="18"/>
                <w:szCs w:val="18"/>
              </w:rPr>
              <w:t>Egals</w:t>
            </w:r>
            <w:proofErr w:type="spellEnd"/>
          </w:p>
        </w:tc>
        <w:tc>
          <w:tcPr>
            <w:tcW w:w="576" w:type="pct"/>
            <w:vAlign w:val="center"/>
          </w:tcPr>
          <w:p w14:paraId="79DA8B76"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5025157E"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1601.25</w:t>
            </w:r>
          </w:p>
        </w:tc>
        <w:tc>
          <w:tcPr>
            <w:tcW w:w="644" w:type="pct"/>
            <w:vAlign w:val="center"/>
          </w:tcPr>
          <w:p w14:paraId="39B664B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254236BE"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71" w:type="pct"/>
            <w:vAlign w:val="center"/>
          </w:tcPr>
          <w:p w14:paraId="783AD95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04B08892"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3758D40A" w14:textId="77777777" w:rsidTr="00124BE5">
        <w:trPr>
          <w:trHeight w:val="20"/>
          <w:tblHeader/>
        </w:trPr>
        <w:tc>
          <w:tcPr>
            <w:tcW w:w="242" w:type="pct"/>
            <w:vAlign w:val="center"/>
          </w:tcPr>
          <w:p w14:paraId="120D3840"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2033B443"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SANITEX</w:t>
            </w:r>
          </w:p>
        </w:tc>
        <w:tc>
          <w:tcPr>
            <w:tcW w:w="576" w:type="pct"/>
            <w:vAlign w:val="center"/>
          </w:tcPr>
          <w:p w14:paraId="7A972CFA"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14A56D5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296008C2"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643CBAC3"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1712.50</w:t>
            </w:r>
          </w:p>
        </w:tc>
        <w:tc>
          <w:tcPr>
            <w:tcW w:w="571" w:type="pct"/>
            <w:vAlign w:val="center"/>
          </w:tcPr>
          <w:p w14:paraId="08D5C534"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0BFB00C2"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00C510A5" w14:textId="77777777" w:rsidTr="00124BE5">
        <w:trPr>
          <w:trHeight w:val="20"/>
          <w:tblHeader/>
        </w:trPr>
        <w:tc>
          <w:tcPr>
            <w:tcW w:w="242" w:type="pct"/>
            <w:vAlign w:val="center"/>
          </w:tcPr>
          <w:p w14:paraId="65CB5AFF"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456EE0E6"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A.Medical</w:t>
            </w:r>
          </w:p>
        </w:tc>
        <w:tc>
          <w:tcPr>
            <w:tcW w:w="576" w:type="pct"/>
            <w:vAlign w:val="center"/>
          </w:tcPr>
          <w:p w14:paraId="49B69F7C"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7E114045" w14:textId="5C95BF1C"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3427.02/</w:t>
            </w:r>
            <w:r w:rsidRPr="00124BE5">
              <w:rPr>
                <w:b/>
                <w:color w:val="FF0000"/>
                <w:sz w:val="18"/>
                <w:szCs w:val="18"/>
              </w:rPr>
              <w:t>pēc kļūdu labojuma 3., 4. pozīcijā -3426.15</w:t>
            </w:r>
            <w:r w:rsidRPr="00124BE5">
              <w:rPr>
                <w:rStyle w:val="FootnoteReference"/>
                <w:b/>
                <w:color w:val="FF0000"/>
                <w:sz w:val="18"/>
                <w:szCs w:val="18"/>
              </w:rPr>
              <w:footnoteReference w:id="1"/>
            </w:r>
          </w:p>
        </w:tc>
        <w:tc>
          <w:tcPr>
            <w:tcW w:w="644" w:type="pct"/>
            <w:vAlign w:val="center"/>
          </w:tcPr>
          <w:p w14:paraId="76DB8A4E"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5F55BA43" w14:textId="77D18B8E"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 xml:space="preserve">1912.45/ </w:t>
            </w:r>
            <w:r w:rsidRPr="00124BE5">
              <w:rPr>
                <w:b/>
                <w:color w:val="FF0000"/>
                <w:sz w:val="18"/>
                <w:szCs w:val="18"/>
              </w:rPr>
              <w:t>pēc kļūdu labojuma  5pozīcijā -1913.45</w:t>
            </w:r>
            <w:r w:rsidRPr="00124BE5">
              <w:rPr>
                <w:rStyle w:val="FootnoteReference"/>
                <w:b/>
                <w:color w:val="FF0000"/>
                <w:sz w:val="18"/>
                <w:szCs w:val="18"/>
              </w:rPr>
              <w:footnoteReference w:id="2"/>
            </w:r>
          </w:p>
        </w:tc>
        <w:tc>
          <w:tcPr>
            <w:tcW w:w="571" w:type="pct"/>
            <w:vAlign w:val="center"/>
          </w:tcPr>
          <w:p w14:paraId="76D773C7"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4281988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63174D73" w14:textId="77777777" w:rsidTr="00124BE5">
        <w:trPr>
          <w:trHeight w:val="20"/>
          <w:tblHeader/>
        </w:trPr>
        <w:tc>
          <w:tcPr>
            <w:tcW w:w="242" w:type="pct"/>
            <w:vAlign w:val="center"/>
          </w:tcPr>
          <w:p w14:paraId="231C33C1"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0BFA343B"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“Māja L”</w:t>
            </w:r>
          </w:p>
        </w:tc>
        <w:tc>
          <w:tcPr>
            <w:tcW w:w="576" w:type="pct"/>
            <w:vAlign w:val="center"/>
          </w:tcPr>
          <w:p w14:paraId="18B2747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112BD8A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5A2477AB"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440FC542"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71" w:type="pct"/>
            <w:vAlign w:val="center"/>
          </w:tcPr>
          <w:p w14:paraId="2C0F46F3"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6121A72D"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2154.54</w:t>
            </w:r>
          </w:p>
        </w:tc>
      </w:tr>
      <w:tr w:rsidR="00CE3821" w:rsidRPr="00124BE5" w14:paraId="0B5B6073" w14:textId="77777777" w:rsidTr="00124BE5">
        <w:trPr>
          <w:trHeight w:val="20"/>
          <w:tblHeader/>
        </w:trPr>
        <w:tc>
          <w:tcPr>
            <w:tcW w:w="242" w:type="pct"/>
            <w:vAlign w:val="center"/>
          </w:tcPr>
          <w:p w14:paraId="10032865"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64316895"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w:t>
            </w:r>
            <w:proofErr w:type="spellStart"/>
            <w:r w:rsidRPr="00124BE5">
              <w:rPr>
                <w:sz w:val="18"/>
                <w:szCs w:val="18"/>
              </w:rPr>
              <w:t>Kemitek</w:t>
            </w:r>
            <w:proofErr w:type="spellEnd"/>
            <w:r w:rsidRPr="00124BE5">
              <w:rPr>
                <w:sz w:val="18"/>
                <w:szCs w:val="18"/>
              </w:rPr>
              <w:t>”</w:t>
            </w:r>
          </w:p>
        </w:tc>
        <w:tc>
          <w:tcPr>
            <w:tcW w:w="576" w:type="pct"/>
            <w:vAlign w:val="center"/>
          </w:tcPr>
          <w:p w14:paraId="5685F751"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6C6DBA6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489636A0"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233.00</w:t>
            </w:r>
          </w:p>
        </w:tc>
        <w:tc>
          <w:tcPr>
            <w:tcW w:w="661" w:type="pct"/>
            <w:vAlign w:val="center"/>
          </w:tcPr>
          <w:p w14:paraId="45BA6D2B"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904.90</w:t>
            </w:r>
          </w:p>
        </w:tc>
        <w:tc>
          <w:tcPr>
            <w:tcW w:w="571" w:type="pct"/>
            <w:vAlign w:val="center"/>
          </w:tcPr>
          <w:p w14:paraId="1BFAEAA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0409E9CF"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754D57BC" w14:textId="77777777" w:rsidTr="00124BE5">
        <w:trPr>
          <w:trHeight w:val="20"/>
          <w:tblHeader/>
        </w:trPr>
        <w:tc>
          <w:tcPr>
            <w:tcW w:w="242" w:type="pct"/>
            <w:vAlign w:val="center"/>
          </w:tcPr>
          <w:p w14:paraId="4B8FE2BC"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69FA20A8"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SANTEHKOMPLEKTS</w:t>
            </w:r>
          </w:p>
        </w:tc>
        <w:tc>
          <w:tcPr>
            <w:tcW w:w="576" w:type="pct"/>
            <w:vAlign w:val="center"/>
          </w:tcPr>
          <w:p w14:paraId="3BC3CF7B"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61FB8496"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091A65B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54BC83DB"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71" w:type="pct"/>
            <w:vAlign w:val="center"/>
          </w:tcPr>
          <w:p w14:paraId="5F1B3DC0"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331CDCBF"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2196.00</w:t>
            </w:r>
          </w:p>
        </w:tc>
      </w:tr>
      <w:tr w:rsidR="00CE3821" w:rsidRPr="00124BE5" w14:paraId="6FC857BA" w14:textId="77777777" w:rsidTr="00124BE5">
        <w:trPr>
          <w:trHeight w:val="20"/>
          <w:tblHeader/>
        </w:trPr>
        <w:tc>
          <w:tcPr>
            <w:tcW w:w="242" w:type="pct"/>
            <w:vAlign w:val="center"/>
          </w:tcPr>
          <w:p w14:paraId="332BCB06"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3218653F"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NMS RIGA</w:t>
            </w:r>
          </w:p>
        </w:tc>
        <w:tc>
          <w:tcPr>
            <w:tcW w:w="576" w:type="pct"/>
            <w:vAlign w:val="center"/>
          </w:tcPr>
          <w:p w14:paraId="6CF0E0F9"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6FF3AE69"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1722.39</w:t>
            </w:r>
          </w:p>
        </w:tc>
        <w:tc>
          <w:tcPr>
            <w:tcW w:w="644" w:type="pct"/>
            <w:vAlign w:val="center"/>
          </w:tcPr>
          <w:p w14:paraId="7276D90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54707DCA"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71" w:type="pct"/>
            <w:vAlign w:val="center"/>
          </w:tcPr>
          <w:p w14:paraId="7A969AA7"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507.15</w:t>
            </w:r>
          </w:p>
        </w:tc>
        <w:tc>
          <w:tcPr>
            <w:tcW w:w="581" w:type="pct"/>
            <w:vAlign w:val="center"/>
          </w:tcPr>
          <w:p w14:paraId="7EB7E490"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r w:rsidR="00CE3821" w:rsidRPr="00124BE5" w14:paraId="1123D441" w14:textId="77777777" w:rsidTr="00124BE5">
        <w:trPr>
          <w:trHeight w:val="20"/>
          <w:tblHeader/>
        </w:trPr>
        <w:tc>
          <w:tcPr>
            <w:tcW w:w="242" w:type="pct"/>
            <w:vAlign w:val="center"/>
          </w:tcPr>
          <w:p w14:paraId="73DA7EAB"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203A48F4"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OPTIMERA LATVIA</w:t>
            </w:r>
          </w:p>
        </w:tc>
        <w:tc>
          <w:tcPr>
            <w:tcW w:w="576" w:type="pct"/>
            <w:vAlign w:val="center"/>
          </w:tcPr>
          <w:p w14:paraId="770D8298"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724" w:type="pct"/>
            <w:vAlign w:val="center"/>
          </w:tcPr>
          <w:p w14:paraId="5C57E5C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3316ADC7"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081584C3"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71" w:type="pct"/>
            <w:vAlign w:val="center"/>
          </w:tcPr>
          <w:p w14:paraId="3C92DBAC"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581" w:type="pct"/>
            <w:vAlign w:val="center"/>
          </w:tcPr>
          <w:p w14:paraId="69021D1D"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2074.22</w:t>
            </w:r>
          </w:p>
        </w:tc>
      </w:tr>
      <w:tr w:rsidR="00CE3821" w:rsidRPr="00124BE5" w14:paraId="39FF0063" w14:textId="77777777" w:rsidTr="00124BE5">
        <w:trPr>
          <w:trHeight w:val="20"/>
          <w:tblHeader/>
        </w:trPr>
        <w:tc>
          <w:tcPr>
            <w:tcW w:w="242" w:type="pct"/>
            <w:vAlign w:val="center"/>
          </w:tcPr>
          <w:p w14:paraId="2692789D" w14:textId="77777777" w:rsidR="00CE3821" w:rsidRPr="00124BE5" w:rsidRDefault="00CE3821" w:rsidP="005F041F">
            <w:pPr>
              <w:widowControl w:val="0"/>
              <w:numPr>
                <w:ilvl w:val="0"/>
                <w:numId w:val="11"/>
              </w:numPr>
              <w:pBdr>
                <w:bar w:val="single" w:sz="4" w:color="auto"/>
              </w:pBdr>
              <w:autoSpaceDE w:val="0"/>
              <w:autoSpaceDN w:val="0"/>
              <w:adjustRightInd w:val="0"/>
              <w:ind w:left="0" w:firstLine="0"/>
              <w:jc w:val="center"/>
              <w:rPr>
                <w:sz w:val="18"/>
                <w:szCs w:val="18"/>
              </w:rPr>
            </w:pPr>
          </w:p>
        </w:tc>
        <w:tc>
          <w:tcPr>
            <w:tcW w:w="1001" w:type="pct"/>
            <w:vAlign w:val="center"/>
          </w:tcPr>
          <w:p w14:paraId="5C29DEF3" w14:textId="77777777" w:rsidR="00CE3821" w:rsidRPr="00124BE5" w:rsidRDefault="00CE3821" w:rsidP="005F041F">
            <w:pPr>
              <w:widowControl w:val="0"/>
              <w:autoSpaceDE w:val="0"/>
              <w:autoSpaceDN w:val="0"/>
              <w:adjustRightInd w:val="0"/>
              <w:jc w:val="center"/>
              <w:rPr>
                <w:sz w:val="18"/>
                <w:szCs w:val="18"/>
              </w:rPr>
            </w:pPr>
            <w:r w:rsidRPr="00124BE5">
              <w:rPr>
                <w:sz w:val="18"/>
                <w:szCs w:val="18"/>
              </w:rPr>
              <w:t>SIA EMANSIS</w:t>
            </w:r>
          </w:p>
        </w:tc>
        <w:tc>
          <w:tcPr>
            <w:tcW w:w="576" w:type="pct"/>
            <w:vAlign w:val="center"/>
          </w:tcPr>
          <w:p w14:paraId="4D5AE7CB"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1687.56</w:t>
            </w:r>
          </w:p>
        </w:tc>
        <w:tc>
          <w:tcPr>
            <w:tcW w:w="724" w:type="pct"/>
            <w:vAlign w:val="center"/>
          </w:tcPr>
          <w:p w14:paraId="337B3695"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44" w:type="pct"/>
            <w:vAlign w:val="center"/>
          </w:tcPr>
          <w:p w14:paraId="18E9B1D2"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c>
          <w:tcPr>
            <w:tcW w:w="661" w:type="pct"/>
            <w:vAlign w:val="center"/>
          </w:tcPr>
          <w:p w14:paraId="585787E6"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721.10</w:t>
            </w:r>
          </w:p>
        </w:tc>
        <w:tc>
          <w:tcPr>
            <w:tcW w:w="571" w:type="pct"/>
            <w:vAlign w:val="center"/>
          </w:tcPr>
          <w:p w14:paraId="31056EC1" w14:textId="77777777" w:rsidR="00CE3821" w:rsidRPr="00124BE5" w:rsidRDefault="00CE3821" w:rsidP="005F041F">
            <w:pPr>
              <w:widowControl w:val="0"/>
              <w:pBdr>
                <w:bar w:val="single" w:sz="4" w:color="auto"/>
              </w:pBdr>
              <w:autoSpaceDE w:val="0"/>
              <w:autoSpaceDN w:val="0"/>
              <w:adjustRightInd w:val="0"/>
              <w:jc w:val="center"/>
              <w:rPr>
                <w:sz w:val="18"/>
                <w:szCs w:val="18"/>
              </w:rPr>
            </w:pPr>
            <w:r w:rsidRPr="00124BE5">
              <w:rPr>
                <w:sz w:val="18"/>
                <w:szCs w:val="18"/>
              </w:rPr>
              <w:t>1196.17</w:t>
            </w:r>
          </w:p>
        </w:tc>
        <w:tc>
          <w:tcPr>
            <w:tcW w:w="581" w:type="pct"/>
            <w:vAlign w:val="center"/>
          </w:tcPr>
          <w:p w14:paraId="3876A0AE" w14:textId="77777777" w:rsidR="00CE3821" w:rsidRPr="00124BE5" w:rsidRDefault="00CE3821" w:rsidP="005F041F">
            <w:pPr>
              <w:widowControl w:val="0"/>
              <w:pBdr>
                <w:bar w:val="single" w:sz="4" w:color="auto"/>
              </w:pBdr>
              <w:autoSpaceDE w:val="0"/>
              <w:autoSpaceDN w:val="0"/>
              <w:adjustRightInd w:val="0"/>
              <w:jc w:val="center"/>
              <w:rPr>
                <w:sz w:val="18"/>
                <w:szCs w:val="18"/>
              </w:rPr>
            </w:pPr>
          </w:p>
        </w:tc>
      </w:tr>
    </w:tbl>
    <w:p w14:paraId="76D552B5" w14:textId="77777777" w:rsidR="00E1038B" w:rsidRPr="00656978" w:rsidRDefault="00E1038B" w:rsidP="005F041F">
      <w:pPr>
        <w:tabs>
          <w:tab w:val="left" w:pos="426"/>
        </w:tabs>
        <w:jc w:val="both"/>
        <w:rPr>
          <w:rFonts w:asciiTheme="minorHAnsi" w:hAnsiTheme="minorHAnsi" w:cstheme="minorHAnsi"/>
          <w:b/>
          <w:sz w:val="22"/>
          <w:szCs w:val="22"/>
          <w:u w:val="single"/>
        </w:rPr>
      </w:pPr>
    </w:p>
    <w:p w14:paraId="2A466CC7" w14:textId="6EA7ACDC" w:rsidR="00507B77" w:rsidRPr="00656978" w:rsidRDefault="00CC7CFE" w:rsidP="005F041F">
      <w:pPr>
        <w:pStyle w:val="ListParagraph"/>
        <w:numPr>
          <w:ilvl w:val="0"/>
          <w:numId w:val="3"/>
        </w:numPr>
        <w:tabs>
          <w:tab w:val="left" w:pos="284"/>
          <w:tab w:val="left" w:pos="567"/>
        </w:tabs>
        <w:ind w:left="0" w:firstLine="0"/>
        <w:jc w:val="both"/>
        <w:rPr>
          <w:rFonts w:asciiTheme="minorHAnsi" w:hAnsiTheme="minorHAnsi" w:cstheme="minorHAnsi"/>
          <w:sz w:val="22"/>
          <w:szCs w:val="22"/>
          <w:lang w:eastAsia="ar-SA"/>
        </w:rPr>
      </w:pPr>
      <w:r w:rsidRPr="00656978">
        <w:rPr>
          <w:rFonts w:asciiTheme="minorHAnsi" w:hAnsiTheme="minorHAnsi" w:cstheme="minorHAnsi"/>
          <w:b/>
          <w:sz w:val="22"/>
          <w:szCs w:val="22"/>
          <w:u w:val="single"/>
        </w:rPr>
        <w:t xml:space="preserve">Noraidītie pretendenti un noraidīšanas iemesli: </w:t>
      </w:r>
    </w:p>
    <w:p w14:paraId="3329AF91" w14:textId="458F7E1F" w:rsidR="00336D11" w:rsidRDefault="00D35355" w:rsidP="005F041F">
      <w:pPr>
        <w:pStyle w:val="ListParagraph"/>
        <w:numPr>
          <w:ilvl w:val="1"/>
          <w:numId w:val="3"/>
        </w:numPr>
        <w:jc w:val="both"/>
        <w:rPr>
          <w:rFonts w:asciiTheme="minorHAnsi" w:hAnsiTheme="minorHAnsi" w:cstheme="minorHAnsi"/>
          <w:sz w:val="22"/>
          <w:szCs w:val="22"/>
          <w:lang w:eastAsia="ar-SA"/>
        </w:rPr>
      </w:pPr>
      <w:r w:rsidRPr="00124BE5">
        <w:rPr>
          <w:rFonts w:asciiTheme="minorHAnsi" w:hAnsiTheme="minorHAnsi" w:cstheme="minorHAnsi"/>
          <w:b/>
          <w:i/>
          <w:sz w:val="22"/>
          <w:szCs w:val="22"/>
          <w:lang w:eastAsia="ar-SA"/>
        </w:rPr>
        <w:t>Iepirkuma 2.daļa “Tīrīšanas līdzekļi” –</w:t>
      </w:r>
      <w:r>
        <w:rPr>
          <w:rFonts w:asciiTheme="minorHAnsi" w:hAnsiTheme="minorHAnsi" w:cstheme="minorHAnsi"/>
          <w:sz w:val="22"/>
          <w:szCs w:val="22"/>
          <w:lang w:eastAsia="ar-SA"/>
        </w:rPr>
        <w:t xml:space="preserve"> noraidīts SIA “</w:t>
      </w:r>
      <w:proofErr w:type="spellStart"/>
      <w:r>
        <w:rPr>
          <w:rFonts w:asciiTheme="minorHAnsi" w:hAnsiTheme="minorHAnsi" w:cstheme="minorHAnsi"/>
          <w:sz w:val="22"/>
          <w:szCs w:val="22"/>
          <w:lang w:eastAsia="ar-SA"/>
        </w:rPr>
        <w:t>Egals</w:t>
      </w:r>
      <w:proofErr w:type="spellEnd"/>
      <w:r>
        <w:rPr>
          <w:rFonts w:asciiTheme="minorHAnsi" w:hAnsiTheme="minorHAnsi" w:cstheme="minorHAnsi"/>
          <w:sz w:val="22"/>
          <w:szCs w:val="22"/>
          <w:lang w:eastAsia="ar-SA"/>
        </w:rPr>
        <w:t>” piedāvājums kā neatbilstošs tehnisko specifikāciju prasībām</w:t>
      </w:r>
      <w:r w:rsidR="00AB63ED">
        <w:rPr>
          <w:rFonts w:asciiTheme="minorHAnsi" w:hAnsiTheme="minorHAnsi" w:cstheme="minorHAnsi"/>
          <w:sz w:val="22"/>
          <w:szCs w:val="22"/>
          <w:lang w:eastAsia="ar-SA"/>
        </w:rPr>
        <w:t xml:space="preserve"> </w:t>
      </w:r>
      <w:r w:rsidR="00AB63ED" w:rsidRPr="00AB63ED">
        <w:rPr>
          <w:rFonts w:asciiTheme="minorHAnsi" w:hAnsiTheme="minorHAnsi" w:cstheme="minorHAnsi"/>
          <w:sz w:val="22"/>
          <w:szCs w:val="22"/>
          <w:lang w:eastAsia="ar-SA"/>
        </w:rPr>
        <w:t>2., 6. un 8. Pozīcijā</w:t>
      </w:r>
      <w:r>
        <w:rPr>
          <w:rFonts w:asciiTheme="minorHAnsi" w:hAnsiTheme="minorHAnsi" w:cstheme="minorHAnsi"/>
          <w:sz w:val="22"/>
          <w:szCs w:val="22"/>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1386"/>
        <w:gridCol w:w="3372"/>
        <w:gridCol w:w="3905"/>
      </w:tblGrid>
      <w:tr w:rsidR="00D35355" w:rsidRPr="00D35355" w14:paraId="14B4E46D" w14:textId="77777777" w:rsidTr="00124BE5">
        <w:trPr>
          <w:trHeight w:val="1136"/>
        </w:trPr>
        <w:tc>
          <w:tcPr>
            <w:tcW w:w="337" w:type="pct"/>
            <w:shd w:val="clear" w:color="auto" w:fill="auto"/>
            <w:vAlign w:val="center"/>
            <w:hideMark/>
          </w:tcPr>
          <w:p w14:paraId="077E86A6" w14:textId="77777777" w:rsidR="00D35355" w:rsidRPr="00D35355" w:rsidRDefault="00D35355" w:rsidP="005F041F">
            <w:pPr>
              <w:jc w:val="center"/>
              <w:rPr>
                <w:sz w:val="16"/>
                <w:szCs w:val="16"/>
                <w:lang w:val="en-US" w:eastAsia="en-US"/>
              </w:rPr>
            </w:pPr>
            <w:proofErr w:type="spellStart"/>
            <w:r w:rsidRPr="00D35355">
              <w:rPr>
                <w:sz w:val="16"/>
                <w:szCs w:val="16"/>
                <w:lang w:val="en-US" w:eastAsia="en-US"/>
              </w:rPr>
              <w:t>N.p.k</w:t>
            </w:r>
            <w:proofErr w:type="spellEnd"/>
            <w:r w:rsidRPr="00D35355">
              <w:rPr>
                <w:sz w:val="16"/>
                <w:szCs w:val="16"/>
                <w:lang w:val="en-US" w:eastAsia="en-US"/>
              </w:rPr>
              <w:t>.</w:t>
            </w:r>
          </w:p>
        </w:tc>
        <w:tc>
          <w:tcPr>
            <w:tcW w:w="746" w:type="pct"/>
            <w:shd w:val="clear" w:color="auto" w:fill="auto"/>
            <w:vAlign w:val="center"/>
            <w:hideMark/>
          </w:tcPr>
          <w:p w14:paraId="1C003DD0" w14:textId="77777777" w:rsidR="00D35355" w:rsidRPr="00D35355" w:rsidRDefault="00D35355" w:rsidP="005F041F">
            <w:pPr>
              <w:jc w:val="center"/>
              <w:rPr>
                <w:b/>
                <w:bCs/>
                <w:sz w:val="16"/>
                <w:szCs w:val="16"/>
                <w:lang w:val="en-US" w:eastAsia="en-US"/>
              </w:rPr>
            </w:pPr>
            <w:proofErr w:type="spellStart"/>
            <w:r w:rsidRPr="00D35355">
              <w:rPr>
                <w:b/>
                <w:bCs/>
                <w:sz w:val="16"/>
                <w:szCs w:val="16"/>
                <w:lang w:val="en-US" w:eastAsia="en-US"/>
              </w:rPr>
              <w:t>Preces</w:t>
            </w:r>
            <w:proofErr w:type="spellEnd"/>
            <w:r w:rsidRPr="00D35355">
              <w:rPr>
                <w:b/>
                <w:bCs/>
                <w:sz w:val="16"/>
                <w:szCs w:val="16"/>
                <w:lang w:val="en-US" w:eastAsia="en-US"/>
              </w:rPr>
              <w:t xml:space="preserve"> </w:t>
            </w:r>
            <w:proofErr w:type="spellStart"/>
            <w:r w:rsidRPr="00D35355">
              <w:rPr>
                <w:b/>
                <w:bCs/>
                <w:sz w:val="16"/>
                <w:szCs w:val="16"/>
                <w:lang w:val="en-US" w:eastAsia="en-US"/>
              </w:rPr>
              <w:t>nosaukums</w:t>
            </w:r>
            <w:proofErr w:type="spellEnd"/>
          </w:p>
        </w:tc>
        <w:tc>
          <w:tcPr>
            <w:tcW w:w="1815" w:type="pct"/>
            <w:shd w:val="clear" w:color="auto" w:fill="auto"/>
            <w:vAlign w:val="center"/>
            <w:hideMark/>
          </w:tcPr>
          <w:p w14:paraId="50500E2F" w14:textId="77777777" w:rsidR="00D35355" w:rsidRPr="00D35355" w:rsidRDefault="00D35355" w:rsidP="005F041F">
            <w:pPr>
              <w:jc w:val="center"/>
              <w:rPr>
                <w:b/>
                <w:bCs/>
                <w:sz w:val="16"/>
                <w:szCs w:val="16"/>
                <w:lang w:val="en-US" w:eastAsia="en-US"/>
              </w:rPr>
            </w:pPr>
            <w:proofErr w:type="spellStart"/>
            <w:r w:rsidRPr="00D35355">
              <w:rPr>
                <w:b/>
                <w:bCs/>
                <w:sz w:val="16"/>
                <w:szCs w:val="16"/>
                <w:lang w:val="en-US" w:eastAsia="en-US"/>
              </w:rPr>
              <w:t>Preces</w:t>
            </w:r>
            <w:proofErr w:type="spellEnd"/>
            <w:r w:rsidRPr="00D35355">
              <w:rPr>
                <w:b/>
                <w:bCs/>
                <w:sz w:val="16"/>
                <w:szCs w:val="16"/>
                <w:lang w:val="en-US" w:eastAsia="en-US"/>
              </w:rPr>
              <w:t xml:space="preserve"> </w:t>
            </w:r>
            <w:proofErr w:type="spellStart"/>
            <w:r w:rsidRPr="00D35355">
              <w:rPr>
                <w:b/>
                <w:bCs/>
                <w:sz w:val="16"/>
                <w:szCs w:val="16"/>
                <w:lang w:val="en-US" w:eastAsia="en-US"/>
              </w:rPr>
              <w:t>specifikācija</w:t>
            </w:r>
            <w:proofErr w:type="spellEnd"/>
            <w:r w:rsidRPr="00D35355">
              <w:rPr>
                <w:b/>
                <w:bCs/>
                <w:sz w:val="16"/>
                <w:szCs w:val="16"/>
                <w:lang w:val="en-US" w:eastAsia="en-US"/>
              </w:rPr>
              <w:t xml:space="preserve"> (</w:t>
            </w:r>
            <w:proofErr w:type="spellStart"/>
            <w:r w:rsidRPr="00D35355">
              <w:rPr>
                <w:b/>
                <w:bCs/>
                <w:sz w:val="16"/>
                <w:szCs w:val="16"/>
                <w:lang w:val="en-US" w:eastAsia="en-US"/>
              </w:rPr>
              <w:t>pasūtītāja</w:t>
            </w:r>
            <w:proofErr w:type="spellEnd"/>
            <w:r w:rsidRPr="00D35355">
              <w:rPr>
                <w:b/>
                <w:bCs/>
                <w:sz w:val="16"/>
                <w:szCs w:val="16"/>
                <w:lang w:val="en-US" w:eastAsia="en-US"/>
              </w:rPr>
              <w:t xml:space="preserve"> </w:t>
            </w:r>
            <w:proofErr w:type="spellStart"/>
            <w:r w:rsidRPr="00D35355">
              <w:rPr>
                <w:b/>
                <w:bCs/>
                <w:sz w:val="16"/>
                <w:szCs w:val="16"/>
                <w:lang w:val="en-US" w:eastAsia="en-US"/>
              </w:rPr>
              <w:t>minmālās</w:t>
            </w:r>
            <w:proofErr w:type="spellEnd"/>
            <w:r w:rsidRPr="00D35355">
              <w:rPr>
                <w:b/>
                <w:bCs/>
                <w:sz w:val="16"/>
                <w:szCs w:val="16"/>
                <w:lang w:val="en-US" w:eastAsia="en-US"/>
              </w:rPr>
              <w:t xml:space="preserve"> </w:t>
            </w:r>
            <w:proofErr w:type="spellStart"/>
            <w:r w:rsidRPr="00D35355">
              <w:rPr>
                <w:b/>
                <w:bCs/>
                <w:sz w:val="16"/>
                <w:szCs w:val="16"/>
                <w:lang w:val="en-US" w:eastAsia="en-US"/>
              </w:rPr>
              <w:t>prasības</w:t>
            </w:r>
            <w:proofErr w:type="spellEnd"/>
            <w:r w:rsidRPr="00D35355">
              <w:rPr>
                <w:b/>
                <w:bCs/>
                <w:sz w:val="16"/>
                <w:szCs w:val="16"/>
                <w:lang w:val="en-US" w:eastAsia="en-US"/>
              </w:rPr>
              <w:t xml:space="preserve"> </w:t>
            </w:r>
            <w:proofErr w:type="spellStart"/>
            <w:r w:rsidRPr="00D35355">
              <w:rPr>
                <w:b/>
                <w:bCs/>
                <w:sz w:val="16"/>
                <w:szCs w:val="16"/>
                <w:lang w:val="en-US" w:eastAsia="en-US"/>
              </w:rPr>
              <w:t>precei</w:t>
            </w:r>
            <w:proofErr w:type="spellEnd"/>
            <w:r w:rsidRPr="00D35355">
              <w:rPr>
                <w:b/>
                <w:bCs/>
                <w:sz w:val="16"/>
                <w:szCs w:val="16"/>
                <w:lang w:val="en-US" w:eastAsia="en-US"/>
              </w:rPr>
              <w:t>)</w:t>
            </w:r>
          </w:p>
        </w:tc>
        <w:tc>
          <w:tcPr>
            <w:tcW w:w="2102" w:type="pct"/>
            <w:shd w:val="clear" w:color="auto" w:fill="auto"/>
            <w:vAlign w:val="center"/>
            <w:hideMark/>
          </w:tcPr>
          <w:p w14:paraId="7E9E29C2" w14:textId="499B1120" w:rsidR="00D35355" w:rsidRPr="00D35355" w:rsidRDefault="00D35355" w:rsidP="005F041F">
            <w:pPr>
              <w:jc w:val="center"/>
              <w:rPr>
                <w:b/>
                <w:bCs/>
                <w:sz w:val="16"/>
                <w:szCs w:val="16"/>
                <w:lang w:val="en-US" w:eastAsia="en-US"/>
              </w:rPr>
            </w:pPr>
            <w:proofErr w:type="spellStart"/>
            <w:r w:rsidRPr="00D35355">
              <w:rPr>
                <w:b/>
                <w:bCs/>
                <w:sz w:val="16"/>
                <w:szCs w:val="16"/>
                <w:lang w:val="en-US" w:eastAsia="en-US"/>
              </w:rPr>
              <w:t>Pretendenta</w:t>
            </w:r>
            <w:proofErr w:type="spellEnd"/>
            <w:r w:rsidRPr="00D35355">
              <w:rPr>
                <w:b/>
                <w:bCs/>
                <w:sz w:val="16"/>
                <w:szCs w:val="16"/>
                <w:lang w:val="en-US" w:eastAsia="en-US"/>
              </w:rPr>
              <w:t xml:space="preserve"> </w:t>
            </w:r>
            <w:proofErr w:type="spellStart"/>
            <w:r w:rsidRPr="00D35355">
              <w:rPr>
                <w:b/>
                <w:bCs/>
                <w:sz w:val="16"/>
                <w:szCs w:val="16"/>
                <w:lang w:val="en-US" w:eastAsia="en-US"/>
              </w:rPr>
              <w:t>p</w:t>
            </w:r>
            <w:r w:rsidR="00AE6C3B">
              <w:rPr>
                <w:b/>
                <w:bCs/>
                <w:sz w:val="16"/>
                <w:szCs w:val="16"/>
                <w:lang w:val="en-US" w:eastAsia="en-US"/>
              </w:rPr>
              <w:t>iedāvātās</w:t>
            </w:r>
            <w:proofErr w:type="spellEnd"/>
            <w:r w:rsidR="00AE6C3B">
              <w:rPr>
                <w:b/>
                <w:bCs/>
                <w:sz w:val="16"/>
                <w:szCs w:val="16"/>
                <w:lang w:val="en-US" w:eastAsia="en-US"/>
              </w:rPr>
              <w:t xml:space="preserve"> </w:t>
            </w:r>
            <w:proofErr w:type="spellStart"/>
            <w:r w:rsidR="00AE6C3B">
              <w:rPr>
                <w:b/>
                <w:bCs/>
                <w:sz w:val="16"/>
                <w:szCs w:val="16"/>
                <w:lang w:val="en-US" w:eastAsia="en-US"/>
              </w:rPr>
              <w:t>preces</w:t>
            </w:r>
            <w:proofErr w:type="spellEnd"/>
            <w:r w:rsidR="00AE6C3B">
              <w:rPr>
                <w:b/>
                <w:bCs/>
                <w:sz w:val="16"/>
                <w:szCs w:val="16"/>
                <w:lang w:val="en-US" w:eastAsia="en-US"/>
              </w:rPr>
              <w:t xml:space="preserve"> </w:t>
            </w:r>
            <w:proofErr w:type="spellStart"/>
            <w:r w:rsidR="00AE6C3B">
              <w:rPr>
                <w:b/>
                <w:bCs/>
                <w:sz w:val="16"/>
                <w:szCs w:val="16"/>
                <w:lang w:val="en-US" w:eastAsia="en-US"/>
              </w:rPr>
              <w:t>specifikācija</w:t>
            </w:r>
            <w:proofErr w:type="spellEnd"/>
            <w:r w:rsidR="00AE6C3B">
              <w:rPr>
                <w:b/>
                <w:bCs/>
                <w:sz w:val="16"/>
                <w:szCs w:val="16"/>
                <w:lang w:val="en-US" w:eastAsia="en-US"/>
              </w:rPr>
              <w:t xml:space="preserve"> </w:t>
            </w:r>
            <w:bookmarkStart w:id="0" w:name="_GoBack"/>
            <w:bookmarkEnd w:id="0"/>
          </w:p>
        </w:tc>
      </w:tr>
      <w:tr w:rsidR="00D35355" w:rsidRPr="00D35355" w14:paraId="0A9526E1" w14:textId="77777777" w:rsidTr="00124BE5">
        <w:trPr>
          <w:trHeight w:val="1838"/>
        </w:trPr>
        <w:tc>
          <w:tcPr>
            <w:tcW w:w="337" w:type="pct"/>
            <w:shd w:val="clear" w:color="000000" w:fill="FFFFFF"/>
            <w:noWrap/>
            <w:hideMark/>
          </w:tcPr>
          <w:p w14:paraId="7AABE144" w14:textId="77777777" w:rsidR="00D35355" w:rsidRPr="00D35355" w:rsidRDefault="00D35355" w:rsidP="005F041F">
            <w:pPr>
              <w:jc w:val="center"/>
              <w:rPr>
                <w:sz w:val="16"/>
                <w:szCs w:val="16"/>
                <w:lang w:val="en-US" w:eastAsia="en-US"/>
              </w:rPr>
            </w:pPr>
            <w:r w:rsidRPr="00D35355">
              <w:rPr>
                <w:sz w:val="16"/>
                <w:szCs w:val="16"/>
                <w:lang w:val="en-US" w:eastAsia="en-US"/>
              </w:rPr>
              <w:t>2</w:t>
            </w:r>
          </w:p>
        </w:tc>
        <w:tc>
          <w:tcPr>
            <w:tcW w:w="746" w:type="pct"/>
            <w:shd w:val="clear" w:color="000000" w:fill="FFFFFF"/>
            <w:hideMark/>
          </w:tcPr>
          <w:p w14:paraId="2EEDEC55" w14:textId="77777777" w:rsidR="00D35355" w:rsidRPr="00D35355" w:rsidRDefault="00D35355" w:rsidP="005F041F">
            <w:pPr>
              <w:jc w:val="center"/>
              <w:rPr>
                <w:sz w:val="16"/>
                <w:szCs w:val="16"/>
                <w:lang w:val="en-US" w:eastAsia="en-US"/>
              </w:rPr>
            </w:pPr>
            <w:proofErr w:type="spellStart"/>
            <w:r w:rsidRPr="00D35355">
              <w:rPr>
                <w:sz w:val="16"/>
                <w:szCs w:val="16"/>
                <w:lang w:val="en-US" w:eastAsia="en-US"/>
              </w:rPr>
              <w:t>Sanitāro</w:t>
            </w:r>
            <w:proofErr w:type="spellEnd"/>
            <w:r w:rsidRPr="00D35355">
              <w:rPr>
                <w:sz w:val="16"/>
                <w:szCs w:val="16"/>
                <w:lang w:val="en-US" w:eastAsia="en-US"/>
              </w:rPr>
              <w:t xml:space="preserve"> </w:t>
            </w:r>
            <w:proofErr w:type="spellStart"/>
            <w:r w:rsidRPr="00D35355">
              <w:rPr>
                <w:sz w:val="16"/>
                <w:szCs w:val="16"/>
                <w:lang w:val="en-US" w:eastAsia="en-US"/>
              </w:rPr>
              <w:t>telpu</w:t>
            </w:r>
            <w:proofErr w:type="spellEnd"/>
            <w:r w:rsidRPr="00D35355">
              <w:rPr>
                <w:sz w:val="16"/>
                <w:szCs w:val="16"/>
                <w:lang w:val="en-US" w:eastAsia="en-US"/>
              </w:rPr>
              <w:t xml:space="preserve"> </w:t>
            </w:r>
            <w:proofErr w:type="spellStart"/>
            <w:r w:rsidRPr="00D35355">
              <w:rPr>
                <w:sz w:val="16"/>
                <w:szCs w:val="16"/>
                <w:lang w:val="en-US" w:eastAsia="en-US"/>
              </w:rPr>
              <w:t>tīrīšanas</w:t>
            </w:r>
            <w:proofErr w:type="spellEnd"/>
            <w:r w:rsidRPr="00D35355">
              <w:rPr>
                <w:sz w:val="16"/>
                <w:szCs w:val="16"/>
                <w:lang w:val="en-US" w:eastAsia="en-US"/>
              </w:rPr>
              <w:t xml:space="preserve"> </w:t>
            </w:r>
            <w:proofErr w:type="spellStart"/>
            <w:r w:rsidRPr="00D35355">
              <w:rPr>
                <w:sz w:val="16"/>
                <w:szCs w:val="16"/>
                <w:lang w:val="en-US" w:eastAsia="en-US"/>
              </w:rPr>
              <w:t>līdzeklis</w:t>
            </w:r>
            <w:proofErr w:type="spellEnd"/>
          </w:p>
        </w:tc>
        <w:tc>
          <w:tcPr>
            <w:tcW w:w="1815" w:type="pct"/>
            <w:shd w:val="clear" w:color="000000" w:fill="FFFFFF"/>
            <w:hideMark/>
          </w:tcPr>
          <w:p w14:paraId="789051D1" w14:textId="77777777" w:rsidR="00D35355" w:rsidRPr="00D35355" w:rsidRDefault="00D35355" w:rsidP="005F041F">
            <w:pPr>
              <w:rPr>
                <w:sz w:val="16"/>
                <w:szCs w:val="16"/>
                <w:lang w:val="en-US" w:eastAsia="en-US"/>
              </w:rPr>
            </w:pPr>
            <w:proofErr w:type="spellStart"/>
            <w:r w:rsidRPr="00D35355">
              <w:rPr>
                <w:sz w:val="16"/>
                <w:szCs w:val="16"/>
                <w:lang w:val="en-US" w:eastAsia="en-US"/>
              </w:rPr>
              <w:t>Veicamās</w:t>
            </w:r>
            <w:proofErr w:type="spellEnd"/>
            <w:r w:rsidRPr="00D35355">
              <w:rPr>
                <w:sz w:val="16"/>
                <w:szCs w:val="16"/>
                <w:lang w:val="en-US" w:eastAsia="en-US"/>
              </w:rPr>
              <w:t xml:space="preserve"> </w:t>
            </w:r>
            <w:proofErr w:type="spellStart"/>
            <w:r w:rsidRPr="00D35355">
              <w:rPr>
                <w:sz w:val="16"/>
                <w:szCs w:val="16"/>
                <w:lang w:val="en-US" w:eastAsia="en-US"/>
              </w:rPr>
              <w:t>funkcijas</w:t>
            </w:r>
            <w:proofErr w:type="spellEnd"/>
            <w:r w:rsidRPr="00D35355">
              <w:rPr>
                <w:sz w:val="16"/>
                <w:szCs w:val="16"/>
                <w:lang w:val="en-US" w:eastAsia="en-US"/>
              </w:rPr>
              <w:t xml:space="preserve">: </w:t>
            </w:r>
            <w:proofErr w:type="spellStart"/>
            <w:r w:rsidRPr="00D35355">
              <w:rPr>
                <w:b/>
                <w:bCs/>
                <w:sz w:val="16"/>
                <w:szCs w:val="16"/>
                <w:lang w:val="en-US" w:eastAsia="en-US"/>
              </w:rPr>
              <w:t>spēcīgs</w:t>
            </w:r>
            <w:proofErr w:type="spellEnd"/>
            <w:r w:rsidRPr="00D35355">
              <w:rPr>
                <w:b/>
                <w:bCs/>
                <w:sz w:val="16"/>
                <w:szCs w:val="16"/>
                <w:lang w:val="en-US" w:eastAsia="en-US"/>
              </w:rPr>
              <w:t xml:space="preserve"> </w:t>
            </w:r>
            <w:proofErr w:type="spellStart"/>
            <w:r w:rsidRPr="00D35355">
              <w:rPr>
                <w:b/>
                <w:bCs/>
                <w:sz w:val="16"/>
                <w:szCs w:val="16"/>
                <w:lang w:val="en-US" w:eastAsia="en-US"/>
              </w:rPr>
              <w:t>virsmu</w:t>
            </w:r>
            <w:proofErr w:type="spellEnd"/>
            <w:r w:rsidRPr="00D35355">
              <w:rPr>
                <w:b/>
                <w:bCs/>
                <w:sz w:val="16"/>
                <w:szCs w:val="16"/>
                <w:lang w:val="en-US" w:eastAsia="en-US"/>
              </w:rPr>
              <w:t xml:space="preserve"> </w:t>
            </w:r>
            <w:proofErr w:type="spellStart"/>
            <w:r w:rsidRPr="00D35355">
              <w:rPr>
                <w:b/>
                <w:bCs/>
                <w:sz w:val="16"/>
                <w:szCs w:val="16"/>
                <w:lang w:val="en-US" w:eastAsia="en-US"/>
              </w:rPr>
              <w:t>tīrīšanas</w:t>
            </w:r>
            <w:proofErr w:type="spellEnd"/>
            <w:r w:rsidRPr="00D35355">
              <w:rPr>
                <w:b/>
                <w:bCs/>
                <w:sz w:val="16"/>
                <w:szCs w:val="16"/>
                <w:lang w:val="en-US" w:eastAsia="en-US"/>
              </w:rPr>
              <w:t xml:space="preserve"> </w:t>
            </w:r>
            <w:proofErr w:type="spellStart"/>
            <w:r w:rsidRPr="00D35355">
              <w:rPr>
                <w:b/>
                <w:bCs/>
                <w:sz w:val="16"/>
                <w:szCs w:val="16"/>
                <w:lang w:val="en-US" w:eastAsia="en-US"/>
              </w:rPr>
              <w:t>līdzeklis</w:t>
            </w:r>
            <w:proofErr w:type="spellEnd"/>
            <w:r w:rsidRPr="00D35355">
              <w:rPr>
                <w:b/>
                <w:bCs/>
                <w:sz w:val="16"/>
                <w:szCs w:val="16"/>
                <w:lang w:val="en-US" w:eastAsia="en-US"/>
              </w:rPr>
              <w:t xml:space="preserve"> </w:t>
            </w:r>
            <w:proofErr w:type="spellStart"/>
            <w:r w:rsidRPr="00D35355">
              <w:rPr>
                <w:b/>
                <w:bCs/>
                <w:sz w:val="16"/>
                <w:szCs w:val="16"/>
                <w:lang w:val="en-US" w:eastAsia="en-US"/>
              </w:rPr>
              <w:t>uz</w:t>
            </w:r>
            <w:proofErr w:type="spellEnd"/>
            <w:r w:rsidRPr="00D35355">
              <w:rPr>
                <w:b/>
                <w:bCs/>
                <w:sz w:val="16"/>
                <w:szCs w:val="16"/>
                <w:lang w:val="en-US" w:eastAsia="en-US"/>
              </w:rPr>
              <w:t xml:space="preserve"> </w:t>
            </w:r>
            <w:proofErr w:type="spellStart"/>
            <w:r w:rsidRPr="00D35355">
              <w:rPr>
                <w:b/>
                <w:bCs/>
                <w:sz w:val="16"/>
                <w:szCs w:val="16"/>
                <w:lang w:val="en-US" w:eastAsia="en-US"/>
              </w:rPr>
              <w:t>skābes</w:t>
            </w:r>
            <w:proofErr w:type="spellEnd"/>
            <w:r w:rsidRPr="00D35355">
              <w:rPr>
                <w:b/>
                <w:bCs/>
                <w:sz w:val="16"/>
                <w:szCs w:val="16"/>
                <w:lang w:val="en-US" w:eastAsia="en-US"/>
              </w:rPr>
              <w:t xml:space="preserve"> </w:t>
            </w:r>
            <w:proofErr w:type="spellStart"/>
            <w:r w:rsidRPr="00D35355">
              <w:rPr>
                <w:b/>
                <w:bCs/>
                <w:sz w:val="16"/>
                <w:szCs w:val="16"/>
                <w:lang w:val="en-US" w:eastAsia="en-US"/>
              </w:rPr>
              <w:t>bāzes</w:t>
            </w:r>
            <w:proofErr w:type="spellEnd"/>
            <w:r w:rsidRPr="00D35355">
              <w:rPr>
                <w:b/>
                <w:bCs/>
                <w:sz w:val="16"/>
                <w:szCs w:val="16"/>
                <w:lang w:val="en-US" w:eastAsia="en-US"/>
              </w:rPr>
              <w:t>.</w:t>
            </w:r>
            <w:r w:rsidRPr="00D35355">
              <w:rPr>
                <w:sz w:val="16"/>
                <w:szCs w:val="16"/>
                <w:lang w:val="en-US" w:eastAsia="en-US"/>
              </w:rPr>
              <w:t xml:space="preserve"> </w:t>
            </w:r>
            <w:proofErr w:type="spellStart"/>
            <w:r w:rsidRPr="00D35355">
              <w:rPr>
                <w:sz w:val="16"/>
                <w:szCs w:val="16"/>
                <w:lang w:val="en-US" w:eastAsia="en-US"/>
              </w:rPr>
              <w:t>Tehniskās</w:t>
            </w:r>
            <w:proofErr w:type="spellEnd"/>
            <w:r w:rsidRPr="00D35355">
              <w:rPr>
                <w:sz w:val="16"/>
                <w:szCs w:val="16"/>
                <w:lang w:val="en-US" w:eastAsia="en-US"/>
              </w:rPr>
              <w:t xml:space="preserve"> </w:t>
            </w:r>
            <w:proofErr w:type="spellStart"/>
            <w:r w:rsidRPr="00D35355">
              <w:rPr>
                <w:sz w:val="16"/>
                <w:szCs w:val="16"/>
                <w:lang w:val="en-US" w:eastAsia="en-US"/>
              </w:rPr>
              <w:t>prasības</w:t>
            </w:r>
            <w:proofErr w:type="spellEnd"/>
            <w:r w:rsidRPr="00D35355">
              <w:rPr>
                <w:sz w:val="16"/>
                <w:szCs w:val="16"/>
                <w:lang w:val="en-US" w:eastAsia="en-US"/>
              </w:rPr>
              <w:t xml:space="preserve">: </w:t>
            </w:r>
            <w:proofErr w:type="spellStart"/>
            <w:r w:rsidRPr="00D35355">
              <w:rPr>
                <w:sz w:val="16"/>
                <w:szCs w:val="16"/>
                <w:lang w:val="en-US" w:eastAsia="en-US"/>
              </w:rPr>
              <w:t>Paredzēts</w:t>
            </w:r>
            <w:proofErr w:type="spellEnd"/>
            <w:r w:rsidRPr="00D35355">
              <w:rPr>
                <w:sz w:val="16"/>
                <w:szCs w:val="16"/>
                <w:lang w:val="en-US" w:eastAsia="en-US"/>
              </w:rPr>
              <w:t xml:space="preserve"> </w:t>
            </w:r>
            <w:proofErr w:type="spellStart"/>
            <w:r w:rsidRPr="00D35355">
              <w:rPr>
                <w:sz w:val="16"/>
                <w:szCs w:val="16"/>
                <w:lang w:val="en-US" w:eastAsia="en-US"/>
              </w:rPr>
              <w:t>kaļķakmens</w:t>
            </w:r>
            <w:proofErr w:type="spellEnd"/>
            <w:r w:rsidRPr="00D35355">
              <w:rPr>
                <w:sz w:val="16"/>
                <w:szCs w:val="16"/>
                <w:lang w:val="en-US" w:eastAsia="en-US"/>
              </w:rPr>
              <w:t xml:space="preserve">, </w:t>
            </w:r>
            <w:proofErr w:type="spellStart"/>
            <w:r w:rsidRPr="00D35355">
              <w:rPr>
                <w:sz w:val="16"/>
                <w:szCs w:val="16"/>
                <w:lang w:val="en-US" w:eastAsia="en-US"/>
              </w:rPr>
              <w:t>ziepju</w:t>
            </w:r>
            <w:proofErr w:type="spellEnd"/>
            <w:r w:rsidRPr="00D35355">
              <w:rPr>
                <w:sz w:val="16"/>
                <w:szCs w:val="16"/>
                <w:lang w:val="en-US" w:eastAsia="en-US"/>
              </w:rPr>
              <w:t xml:space="preserve"> </w:t>
            </w:r>
            <w:proofErr w:type="spellStart"/>
            <w:r w:rsidRPr="00D35355">
              <w:rPr>
                <w:sz w:val="16"/>
                <w:szCs w:val="16"/>
                <w:lang w:val="en-US" w:eastAsia="en-US"/>
              </w:rPr>
              <w:t>nosēdumu</w:t>
            </w:r>
            <w:proofErr w:type="spellEnd"/>
            <w:r w:rsidRPr="00D35355">
              <w:rPr>
                <w:sz w:val="16"/>
                <w:szCs w:val="16"/>
                <w:lang w:val="en-US" w:eastAsia="en-US"/>
              </w:rPr>
              <w:t xml:space="preserve">, </w:t>
            </w:r>
            <w:proofErr w:type="spellStart"/>
            <w:r w:rsidRPr="00D35355">
              <w:rPr>
                <w:sz w:val="16"/>
                <w:szCs w:val="16"/>
                <w:lang w:val="en-US" w:eastAsia="en-US"/>
              </w:rPr>
              <w:t>rūsas</w:t>
            </w:r>
            <w:proofErr w:type="spellEnd"/>
            <w:r w:rsidRPr="00D35355">
              <w:rPr>
                <w:sz w:val="16"/>
                <w:szCs w:val="16"/>
                <w:lang w:val="en-US" w:eastAsia="en-US"/>
              </w:rPr>
              <w:t xml:space="preserve"> un </w:t>
            </w:r>
            <w:proofErr w:type="spellStart"/>
            <w:r w:rsidRPr="00D35355">
              <w:rPr>
                <w:sz w:val="16"/>
                <w:szCs w:val="16"/>
                <w:lang w:val="en-US" w:eastAsia="en-US"/>
              </w:rPr>
              <w:t>ieēdušos</w:t>
            </w:r>
            <w:proofErr w:type="spellEnd"/>
            <w:r w:rsidRPr="00D35355">
              <w:rPr>
                <w:sz w:val="16"/>
                <w:szCs w:val="16"/>
                <w:lang w:val="en-US" w:eastAsia="en-US"/>
              </w:rPr>
              <w:t xml:space="preserve"> </w:t>
            </w:r>
            <w:proofErr w:type="spellStart"/>
            <w:r w:rsidRPr="00D35355">
              <w:rPr>
                <w:sz w:val="16"/>
                <w:szCs w:val="16"/>
                <w:lang w:val="en-US" w:eastAsia="en-US"/>
              </w:rPr>
              <w:t>traipu</w:t>
            </w:r>
            <w:proofErr w:type="spellEnd"/>
            <w:r w:rsidRPr="00D35355">
              <w:rPr>
                <w:sz w:val="16"/>
                <w:szCs w:val="16"/>
                <w:lang w:val="en-US" w:eastAsia="en-US"/>
              </w:rPr>
              <w:t xml:space="preserve"> </w:t>
            </w:r>
            <w:proofErr w:type="spellStart"/>
            <w:r w:rsidRPr="00D35355">
              <w:rPr>
                <w:sz w:val="16"/>
                <w:szCs w:val="16"/>
                <w:lang w:val="en-US" w:eastAsia="en-US"/>
              </w:rPr>
              <w:t>tīrīšanai</w:t>
            </w:r>
            <w:proofErr w:type="spellEnd"/>
            <w:r w:rsidRPr="00D35355">
              <w:rPr>
                <w:sz w:val="16"/>
                <w:szCs w:val="16"/>
                <w:lang w:val="en-US" w:eastAsia="en-US"/>
              </w:rPr>
              <w:t xml:space="preserve">. PH </w:t>
            </w:r>
            <w:proofErr w:type="spellStart"/>
            <w:r w:rsidRPr="00D35355">
              <w:rPr>
                <w:sz w:val="16"/>
                <w:szCs w:val="16"/>
                <w:lang w:val="en-US" w:eastAsia="en-US"/>
              </w:rPr>
              <w:t>līmenis</w:t>
            </w:r>
            <w:proofErr w:type="spellEnd"/>
            <w:r w:rsidRPr="00D35355">
              <w:rPr>
                <w:sz w:val="16"/>
                <w:szCs w:val="16"/>
                <w:lang w:val="en-US" w:eastAsia="en-US"/>
              </w:rPr>
              <w:t xml:space="preserve"> </w:t>
            </w:r>
            <w:r w:rsidRPr="00D35355">
              <w:rPr>
                <w:sz w:val="16"/>
                <w:szCs w:val="16"/>
                <w:highlight w:val="yellow"/>
                <w:lang w:val="en-US" w:eastAsia="en-US"/>
              </w:rPr>
              <w:t>~ 1</w:t>
            </w:r>
            <w:proofErr w:type="gramStart"/>
            <w:r w:rsidRPr="00D35355">
              <w:rPr>
                <w:sz w:val="16"/>
                <w:szCs w:val="16"/>
                <w:highlight w:val="yellow"/>
                <w:lang w:val="en-US" w:eastAsia="en-US"/>
              </w:rPr>
              <w:t>,0</w:t>
            </w:r>
            <w:proofErr w:type="gramEnd"/>
            <w:r w:rsidRPr="00D35355">
              <w:rPr>
                <w:sz w:val="16"/>
                <w:szCs w:val="16"/>
                <w:lang w:val="en-US" w:eastAsia="en-US"/>
              </w:rPr>
              <w:t xml:space="preserve">; </w:t>
            </w:r>
            <w:proofErr w:type="spellStart"/>
            <w:r w:rsidRPr="00D35355">
              <w:rPr>
                <w:sz w:val="16"/>
                <w:szCs w:val="16"/>
                <w:lang w:val="en-US" w:eastAsia="en-US"/>
              </w:rPr>
              <w:t>Nesatur</w:t>
            </w:r>
            <w:proofErr w:type="spellEnd"/>
            <w:r w:rsidRPr="00D35355">
              <w:rPr>
                <w:sz w:val="16"/>
                <w:szCs w:val="16"/>
                <w:lang w:val="en-US" w:eastAsia="en-US"/>
              </w:rPr>
              <w:t xml:space="preserve"> </w:t>
            </w:r>
            <w:proofErr w:type="spellStart"/>
            <w:r w:rsidRPr="00D35355">
              <w:rPr>
                <w:sz w:val="16"/>
                <w:szCs w:val="16"/>
                <w:lang w:val="en-US" w:eastAsia="en-US"/>
              </w:rPr>
              <w:t>hloru</w:t>
            </w:r>
            <w:proofErr w:type="spellEnd"/>
            <w:r w:rsidRPr="00D35355">
              <w:rPr>
                <w:sz w:val="16"/>
                <w:szCs w:val="16"/>
                <w:lang w:val="en-US" w:eastAsia="en-US"/>
              </w:rPr>
              <w:t xml:space="preserve">. </w:t>
            </w:r>
            <w:proofErr w:type="spellStart"/>
            <w:r w:rsidRPr="00D35355">
              <w:rPr>
                <w:sz w:val="16"/>
                <w:szCs w:val="16"/>
                <w:lang w:val="en-US" w:eastAsia="en-US"/>
              </w:rPr>
              <w:t>Piemērots</w:t>
            </w:r>
            <w:proofErr w:type="spellEnd"/>
            <w:r w:rsidRPr="00D35355">
              <w:rPr>
                <w:sz w:val="16"/>
                <w:szCs w:val="16"/>
                <w:lang w:val="en-US" w:eastAsia="en-US"/>
              </w:rPr>
              <w:t xml:space="preserve"> visa </w:t>
            </w:r>
            <w:proofErr w:type="spellStart"/>
            <w:r w:rsidRPr="00D35355">
              <w:rPr>
                <w:sz w:val="16"/>
                <w:szCs w:val="16"/>
                <w:lang w:val="en-US" w:eastAsia="en-US"/>
              </w:rPr>
              <w:t>veida</w:t>
            </w:r>
            <w:proofErr w:type="spellEnd"/>
            <w:r w:rsidRPr="00D35355">
              <w:rPr>
                <w:sz w:val="16"/>
                <w:szCs w:val="16"/>
                <w:lang w:val="en-US" w:eastAsia="en-US"/>
              </w:rPr>
              <w:t xml:space="preserve"> </w:t>
            </w:r>
            <w:proofErr w:type="spellStart"/>
            <w:r w:rsidRPr="00D35355">
              <w:rPr>
                <w:sz w:val="16"/>
                <w:szCs w:val="16"/>
                <w:lang w:val="en-US" w:eastAsia="en-US"/>
              </w:rPr>
              <w:t>ūdensizturīgu</w:t>
            </w:r>
            <w:proofErr w:type="spellEnd"/>
            <w:r w:rsidRPr="00D35355">
              <w:rPr>
                <w:sz w:val="16"/>
                <w:szCs w:val="16"/>
                <w:lang w:val="en-US" w:eastAsia="en-US"/>
              </w:rPr>
              <w:t xml:space="preserve"> </w:t>
            </w:r>
            <w:proofErr w:type="spellStart"/>
            <w:r w:rsidRPr="00D35355">
              <w:rPr>
                <w:sz w:val="16"/>
                <w:szCs w:val="16"/>
                <w:lang w:val="en-US" w:eastAsia="en-US"/>
              </w:rPr>
              <w:t>sanitāro</w:t>
            </w:r>
            <w:proofErr w:type="spellEnd"/>
            <w:r w:rsidRPr="00D35355">
              <w:rPr>
                <w:sz w:val="16"/>
                <w:szCs w:val="16"/>
                <w:lang w:val="en-US" w:eastAsia="en-US"/>
              </w:rPr>
              <w:t xml:space="preserve"> </w:t>
            </w:r>
            <w:proofErr w:type="spellStart"/>
            <w:r w:rsidRPr="00D35355">
              <w:rPr>
                <w:sz w:val="16"/>
                <w:szCs w:val="16"/>
                <w:lang w:val="en-US" w:eastAsia="en-US"/>
              </w:rPr>
              <w:t>virsmu</w:t>
            </w:r>
            <w:proofErr w:type="spellEnd"/>
            <w:r w:rsidRPr="00D35355">
              <w:rPr>
                <w:sz w:val="16"/>
                <w:szCs w:val="16"/>
                <w:lang w:val="en-US" w:eastAsia="en-US"/>
              </w:rPr>
              <w:t xml:space="preserve"> </w:t>
            </w:r>
            <w:proofErr w:type="spellStart"/>
            <w:r w:rsidRPr="00D35355">
              <w:rPr>
                <w:sz w:val="16"/>
                <w:szCs w:val="16"/>
                <w:lang w:val="en-US" w:eastAsia="en-US"/>
              </w:rPr>
              <w:t>tīrīšanai</w:t>
            </w:r>
            <w:proofErr w:type="spellEnd"/>
            <w:r w:rsidRPr="00D35355">
              <w:rPr>
                <w:sz w:val="16"/>
                <w:szCs w:val="16"/>
                <w:lang w:val="en-US" w:eastAsia="en-US"/>
              </w:rPr>
              <w:t xml:space="preserve">. </w:t>
            </w:r>
            <w:proofErr w:type="spellStart"/>
            <w:r w:rsidRPr="00D35355">
              <w:rPr>
                <w:sz w:val="16"/>
                <w:szCs w:val="16"/>
                <w:lang w:val="en-US" w:eastAsia="en-US"/>
              </w:rPr>
              <w:t>Satur</w:t>
            </w:r>
            <w:proofErr w:type="spellEnd"/>
            <w:r w:rsidRPr="00D35355">
              <w:rPr>
                <w:sz w:val="16"/>
                <w:szCs w:val="16"/>
                <w:lang w:val="en-US" w:eastAsia="en-US"/>
              </w:rPr>
              <w:t xml:space="preserve"> </w:t>
            </w:r>
            <w:proofErr w:type="spellStart"/>
            <w:r w:rsidRPr="00D35355">
              <w:rPr>
                <w:sz w:val="16"/>
                <w:szCs w:val="16"/>
                <w:lang w:val="en-US" w:eastAsia="en-US"/>
              </w:rPr>
              <w:t>anjonu</w:t>
            </w:r>
            <w:proofErr w:type="spellEnd"/>
            <w:r w:rsidRPr="00D35355">
              <w:rPr>
                <w:sz w:val="16"/>
                <w:szCs w:val="16"/>
                <w:lang w:val="en-US" w:eastAsia="en-US"/>
              </w:rPr>
              <w:t xml:space="preserve"> un </w:t>
            </w:r>
            <w:proofErr w:type="spellStart"/>
            <w:r w:rsidRPr="00D35355">
              <w:rPr>
                <w:sz w:val="16"/>
                <w:szCs w:val="16"/>
                <w:lang w:val="en-US" w:eastAsia="en-US"/>
              </w:rPr>
              <w:t>nejonu</w:t>
            </w:r>
            <w:proofErr w:type="spellEnd"/>
            <w:r w:rsidRPr="00D35355">
              <w:rPr>
                <w:sz w:val="16"/>
                <w:szCs w:val="16"/>
                <w:lang w:val="en-US" w:eastAsia="en-US"/>
              </w:rPr>
              <w:t xml:space="preserve"> </w:t>
            </w:r>
            <w:proofErr w:type="spellStart"/>
            <w:r w:rsidRPr="00D35355">
              <w:rPr>
                <w:sz w:val="16"/>
                <w:szCs w:val="16"/>
                <w:lang w:val="en-US" w:eastAsia="en-US"/>
              </w:rPr>
              <w:t>virsmaktīvās</w:t>
            </w:r>
            <w:proofErr w:type="spellEnd"/>
            <w:r w:rsidRPr="00D35355">
              <w:rPr>
                <w:sz w:val="16"/>
                <w:szCs w:val="16"/>
                <w:lang w:val="en-US" w:eastAsia="en-US"/>
              </w:rPr>
              <w:t xml:space="preserve"> </w:t>
            </w:r>
            <w:proofErr w:type="spellStart"/>
            <w:r w:rsidRPr="00D35355">
              <w:rPr>
                <w:sz w:val="16"/>
                <w:szCs w:val="16"/>
                <w:lang w:val="en-US" w:eastAsia="en-US"/>
              </w:rPr>
              <w:t>vielas</w:t>
            </w:r>
            <w:proofErr w:type="spellEnd"/>
            <w:r w:rsidRPr="00D35355">
              <w:rPr>
                <w:sz w:val="16"/>
                <w:szCs w:val="16"/>
                <w:lang w:val="en-US" w:eastAsia="en-US"/>
              </w:rPr>
              <w:t xml:space="preserve">. </w:t>
            </w:r>
            <w:proofErr w:type="spellStart"/>
            <w:r w:rsidRPr="00D35355">
              <w:rPr>
                <w:sz w:val="16"/>
                <w:szCs w:val="16"/>
                <w:lang w:val="en-US" w:eastAsia="en-US"/>
              </w:rPr>
              <w:t>Iepakojums</w:t>
            </w:r>
            <w:proofErr w:type="spellEnd"/>
            <w:r w:rsidRPr="00D35355">
              <w:rPr>
                <w:sz w:val="16"/>
                <w:szCs w:val="16"/>
                <w:lang w:val="en-US" w:eastAsia="en-US"/>
              </w:rPr>
              <w:t xml:space="preserve"> - 500- 1000ml </w:t>
            </w:r>
            <w:proofErr w:type="spellStart"/>
            <w:r w:rsidRPr="00D35355">
              <w:rPr>
                <w:sz w:val="16"/>
                <w:szCs w:val="16"/>
                <w:lang w:val="en-US" w:eastAsia="en-US"/>
              </w:rPr>
              <w:t>ar</w:t>
            </w:r>
            <w:proofErr w:type="spellEnd"/>
            <w:r w:rsidRPr="00D35355">
              <w:rPr>
                <w:sz w:val="16"/>
                <w:szCs w:val="16"/>
                <w:lang w:val="en-US" w:eastAsia="en-US"/>
              </w:rPr>
              <w:t xml:space="preserve"> </w:t>
            </w:r>
            <w:proofErr w:type="spellStart"/>
            <w:r w:rsidRPr="00D35355">
              <w:rPr>
                <w:sz w:val="16"/>
                <w:szCs w:val="16"/>
                <w:lang w:val="en-US" w:eastAsia="en-US"/>
              </w:rPr>
              <w:t>smidzinātāju</w:t>
            </w:r>
            <w:proofErr w:type="spellEnd"/>
            <w:r w:rsidRPr="00D35355">
              <w:rPr>
                <w:sz w:val="16"/>
                <w:szCs w:val="16"/>
                <w:lang w:val="en-US" w:eastAsia="en-US"/>
              </w:rPr>
              <w:t>.</w:t>
            </w:r>
          </w:p>
        </w:tc>
        <w:tc>
          <w:tcPr>
            <w:tcW w:w="2102" w:type="pct"/>
            <w:shd w:val="clear" w:color="000000" w:fill="FFFFFF"/>
            <w:hideMark/>
          </w:tcPr>
          <w:p w14:paraId="303260CE" w14:textId="77777777" w:rsidR="00D35355" w:rsidRPr="00D35355" w:rsidRDefault="00D35355" w:rsidP="005F041F">
            <w:pPr>
              <w:rPr>
                <w:sz w:val="16"/>
                <w:szCs w:val="16"/>
                <w:lang w:val="en-US" w:eastAsia="en-US"/>
              </w:rPr>
            </w:pPr>
            <w:proofErr w:type="spellStart"/>
            <w:r w:rsidRPr="00D35355">
              <w:rPr>
                <w:sz w:val="16"/>
                <w:szCs w:val="16"/>
                <w:lang w:val="en-US" w:eastAsia="en-US"/>
              </w:rPr>
              <w:t>Spēcīgs</w:t>
            </w:r>
            <w:proofErr w:type="spellEnd"/>
            <w:r w:rsidRPr="00D35355">
              <w:rPr>
                <w:sz w:val="16"/>
                <w:szCs w:val="16"/>
                <w:lang w:val="en-US" w:eastAsia="en-US"/>
              </w:rPr>
              <w:t xml:space="preserve"> </w:t>
            </w:r>
            <w:proofErr w:type="spellStart"/>
            <w:r w:rsidRPr="00D35355">
              <w:rPr>
                <w:sz w:val="16"/>
                <w:szCs w:val="16"/>
                <w:lang w:val="en-US" w:eastAsia="en-US"/>
              </w:rPr>
              <w:t>virsmu</w:t>
            </w:r>
            <w:proofErr w:type="spellEnd"/>
            <w:r w:rsidRPr="00D35355">
              <w:rPr>
                <w:sz w:val="16"/>
                <w:szCs w:val="16"/>
                <w:lang w:val="en-US" w:eastAsia="en-US"/>
              </w:rPr>
              <w:t xml:space="preserve"> </w:t>
            </w:r>
            <w:proofErr w:type="spellStart"/>
            <w:r w:rsidRPr="00D35355">
              <w:rPr>
                <w:sz w:val="16"/>
                <w:szCs w:val="16"/>
                <w:lang w:val="en-US" w:eastAsia="en-US"/>
              </w:rPr>
              <w:t>tīrīšanas</w:t>
            </w:r>
            <w:proofErr w:type="spellEnd"/>
            <w:r w:rsidRPr="00D35355">
              <w:rPr>
                <w:sz w:val="16"/>
                <w:szCs w:val="16"/>
                <w:lang w:val="en-US" w:eastAsia="en-US"/>
              </w:rPr>
              <w:t xml:space="preserve"> </w:t>
            </w:r>
            <w:proofErr w:type="spellStart"/>
            <w:r w:rsidRPr="00D35355">
              <w:rPr>
                <w:sz w:val="16"/>
                <w:szCs w:val="16"/>
                <w:lang w:val="en-US" w:eastAsia="en-US"/>
              </w:rPr>
              <w:t>līdzeklis</w:t>
            </w:r>
            <w:proofErr w:type="spellEnd"/>
            <w:r w:rsidRPr="00D35355">
              <w:rPr>
                <w:sz w:val="16"/>
                <w:szCs w:val="16"/>
                <w:lang w:val="en-US" w:eastAsia="en-US"/>
              </w:rPr>
              <w:t xml:space="preserve"> </w:t>
            </w:r>
            <w:proofErr w:type="spellStart"/>
            <w:r w:rsidRPr="00D35355">
              <w:rPr>
                <w:sz w:val="16"/>
                <w:szCs w:val="16"/>
                <w:lang w:val="en-US" w:eastAsia="en-US"/>
              </w:rPr>
              <w:t>uz</w:t>
            </w:r>
            <w:proofErr w:type="spellEnd"/>
            <w:r w:rsidRPr="00D35355">
              <w:rPr>
                <w:sz w:val="16"/>
                <w:szCs w:val="16"/>
                <w:lang w:val="en-US" w:eastAsia="en-US"/>
              </w:rPr>
              <w:t xml:space="preserve"> </w:t>
            </w:r>
            <w:proofErr w:type="spellStart"/>
            <w:r w:rsidRPr="00D35355">
              <w:rPr>
                <w:sz w:val="16"/>
                <w:szCs w:val="16"/>
                <w:lang w:val="en-US" w:eastAsia="en-US"/>
              </w:rPr>
              <w:t>skābes</w:t>
            </w:r>
            <w:proofErr w:type="spellEnd"/>
            <w:r w:rsidRPr="00D35355">
              <w:rPr>
                <w:sz w:val="16"/>
                <w:szCs w:val="16"/>
                <w:lang w:val="en-US" w:eastAsia="en-US"/>
              </w:rPr>
              <w:t xml:space="preserve"> </w:t>
            </w:r>
            <w:proofErr w:type="spellStart"/>
            <w:r w:rsidRPr="00D35355">
              <w:rPr>
                <w:sz w:val="16"/>
                <w:szCs w:val="16"/>
                <w:lang w:val="en-US" w:eastAsia="en-US"/>
              </w:rPr>
              <w:t>bāzes</w:t>
            </w:r>
            <w:proofErr w:type="spellEnd"/>
            <w:r w:rsidRPr="00D35355">
              <w:rPr>
                <w:sz w:val="16"/>
                <w:szCs w:val="16"/>
                <w:lang w:val="en-US" w:eastAsia="en-US"/>
              </w:rPr>
              <w:t xml:space="preserve">. </w:t>
            </w:r>
            <w:proofErr w:type="spellStart"/>
            <w:r w:rsidRPr="00D35355">
              <w:rPr>
                <w:sz w:val="16"/>
                <w:szCs w:val="16"/>
                <w:lang w:val="en-US" w:eastAsia="en-US"/>
              </w:rPr>
              <w:t>Universāls</w:t>
            </w:r>
            <w:proofErr w:type="spellEnd"/>
            <w:r w:rsidRPr="00D35355">
              <w:rPr>
                <w:sz w:val="16"/>
                <w:szCs w:val="16"/>
                <w:lang w:val="en-US" w:eastAsia="en-US"/>
              </w:rPr>
              <w:t xml:space="preserve">, </w:t>
            </w:r>
            <w:proofErr w:type="spellStart"/>
            <w:r w:rsidRPr="00D35355">
              <w:rPr>
                <w:sz w:val="16"/>
                <w:szCs w:val="16"/>
                <w:lang w:val="en-US" w:eastAsia="en-US"/>
              </w:rPr>
              <w:t>ātras</w:t>
            </w:r>
            <w:proofErr w:type="spellEnd"/>
            <w:r w:rsidRPr="00D35355">
              <w:rPr>
                <w:sz w:val="16"/>
                <w:szCs w:val="16"/>
                <w:lang w:val="en-US" w:eastAsia="en-US"/>
              </w:rPr>
              <w:t xml:space="preserve"> </w:t>
            </w:r>
            <w:proofErr w:type="spellStart"/>
            <w:r w:rsidRPr="00D35355">
              <w:rPr>
                <w:sz w:val="16"/>
                <w:szCs w:val="16"/>
                <w:lang w:val="en-US" w:eastAsia="en-US"/>
              </w:rPr>
              <w:t>iedarbības</w:t>
            </w:r>
            <w:proofErr w:type="spellEnd"/>
            <w:r w:rsidRPr="00D35355">
              <w:rPr>
                <w:sz w:val="16"/>
                <w:szCs w:val="16"/>
                <w:lang w:val="en-US" w:eastAsia="en-US"/>
              </w:rPr>
              <w:t xml:space="preserve"> </w:t>
            </w:r>
            <w:proofErr w:type="spellStart"/>
            <w:r w:rsidRPr="00D35355">
              <w:rPr>
                <w:sz w:val="16"/>
                <w:szCs w:val="16"/>
                <w:lang w:val="en-US" w:eastAsia="en-US"/>
              </w:rPr>
              <w:t>tīrītājs</w:t>
            </w:r>
            <w:proofErr w:type="spellEnd"/>
            <w:r w:rsidRPr="00D35355">
              <w:rPr>
                <w:sz w:val="16"/>
                <w:szCs w:val="16"/>
                <w:lang w:val="en-US" w:eastAsia="en-US"/>
              </w:rPr>
              <w:t xml:space="preserve"> </w:t>
            </w:r>
            <w:proofErr w:type="spellStart"/>
            <w:r w:rsidRPr="00D35355">
              <w:rPr>
                <w:sz w:val="16"/>
                <w:szCs w:val="16"/>
                <w:lang w:val="en-US" w:eastAsia="en-US"/>
              </w:rPr>
              <w:t>efektīvi</w:t>
            </w:r>
            <w:proofErr w:type="spellEnd"/>
            <w:r w:rsidRPr="00D35355">
              <w:rPr>
                <w:sz w:val="16"/>
                <w:szCs w:val="16"/>
                <w:lang w:val="en-US" w:eastAsia="en-US"/>
              </w:rPr>
              <w:t xml:space="preserve"> </w:t>
            </w:r>
            <w:proofErr w:type="spellStart"/>
            <w:r w:rsidRPr="00D35355">
              <w:rPr>
                <w:sz w:val="16"/>
                <w:szCs w:val="16"/>
                <w:lang w:val="en-US" w:eastAsia="en-US"/>
              </w:rPr>
              <w:t>novērš</w:t>
            </w:r>
            <w:proofErr w:type="spellEnd"/>
            <w:r w:rsidRPr="00D35355">
              <w:rPr>
                <w:sz w:val="16"/>
                <w:szCs w:val="16"/>
                <w:lang w:val="en-US" w:eastAsia="en-US"/>
              </w:rPr>
              <w:t xml:space="preserve"> </w:t>
            </w:r>
            <w:proofErr w:type="spellStart"/>
            <w:r w:rsidRPr="00D35355">
              <w:rPr>
                <w:sz w:val="16"/>
                <w:szCs w:val="16"/>
                <w:lang w:val="en-US" w:eastAsia="en-US"/>
              </w:rPr>
              <w:t>ieēdušos</w:t>
            </w:r>
            <w:proofErr w:type="spellEnd"/>
            <w:r w:rsidRPr="00D35355">
              <w:rPr>
                <w:sz w:val="16"/>
                <w:szCs w:val="16"/>
                <w:lang w:val="en-US" w:eastAsia="en-US"/>
              </w:rPr>
              <w:t xml:space="preserve"> </w:t>
            </w:r>
            <w:proofErr w:type="spellStart"/>
            <w:r w:rsidRPr="00D35355">
              <w:rPr>
                <w:sz w:val="16"/>
                <w:szCs w:val="16"/>
                <w:lang w:val="en-US" w:eastAsia="en-US"/>
              </w:rPr>
              <w:t>cieta</w:t>
            </w:r>
            <w:proofErr w:type="spellEnd"/>
            <w:r w:rsidRPr="00D35355">
              <w:rPr>
                <w:sz w:val="16"/>
                <w:szCs w:val="16"/>
                <w:lang w:val="en-US" w:eastAsia="en-US"/>
              </w:rPr>
              <w:t xml:space="preserve"> </w:t>
            </w:r>
            <w:proofErr w:type="spellStart"/>
            <w:r w:rsidRPr="00D35355">
              <w:rPr>
                <w:sz w:val="16"/>
                <w:szCs w:val="16"/>
                <w:lang w:val="en-US" w:eastAsia="en-US"/>
              </w:rPr>
              <w:t>ūdens</w:t>
            </w:r>
            <w:proofErr w:type="spellEnd"/>
            <w:r w:rsidRPr="00D35355">
              <w:rPr>
                <w:sz w:val="16"/>
                <w:szCs w:val="16"/>
                <w:lang w:val="en-US" w:eastAsia="en-US"/>
              </w:rPr>
              <w:t xml:space="preserve"> </w:t>
            </w:r>
            <w:proofErr w:type="spellStart"/>
            <w:r w:rsidRPr="00D35355">
              <w:rPr>
                <w:sz w:val="16"/>
                <w:szCs w:val="16"/>
                <w:lang w:val="en-US" w:eastAsia="en-US"/>
              </w:rPr>
              <w:t>nosēdumus</w:t>
            </w:r>
            <w:proofErr w:type="spellEnd"/>
            <w:r w:rsidRPr="00D35355">
              <w:rPr>
                <w:sz w:val="16"/>
                <w:szCs w:val="16"/>
                <w:lang w:val="en-US" w:eastAsia="en-US"/>
              </w:rPr>
              <w:t xml:space="preserve">, </w:t>
            </w:r>
            <w:proofErr w:type="spellStart"/>
            <w:r w:rsidRPr="00D35355">
              <w:rPr>
                <w:sz w:val="16"/>
                <w:szCs w:val="16"/>
                <w:lang w:val="en-US" w:eastAsia="en-US"/>
              </w:rPr>
              <w:t>kaļķu</w:t>
            </w:r>
            <w:proofErr w:type="spellEnd"/>
            <w:r w:rsidRPr="00D35355">
              <w:rPr>
                <w:sz w:val="16"/>
                <w:szCs w:val="16"/>
                <w:lang w:val="en-US" w:eastAsia="en-US"/>
              </w:rPr>
              <w:t xml:space="preserve">, </w:t>
            </w:r>
            <w:proofErr w:type="spellStart"/>
            <w:r w:rsidRPr="00D35355">
              <w:rPr>
                <w:sz w:val="16"/>
                <w:szCs w:val="16"/>
                <w:lang w:val="en-US" w:eastAsia="en-US"/>
              </w:rPr>
              <w:t>rūsas</w:t>
            </w:r>
            <w:proofErr w:type="spellEnd"/>
            <w:r w:rsidRPr="00D35355">
              <w:rPr>
                <w:sz w:val="16"/>
                <w:szCs w:val="16"/>
                <w:lang w:val="en-US" w:eastAsia="en-US"/>
              </w:rPr>
              <w:t xml:space="preserve"> un </w:t>
            </w:r>
            <w:proofErr w:type="spellStart"/>
            <w:r w:rsidRPr="00D35355">
              <w:rPr>
                <w:sz w:val="16"/>
                <w:szCs w:val="16"/>
                <w:lang w:val="en-US" w:eastAsia="en-US"/>
              </w:rPr>
              <w:t>ziepju</w:t>
            </w:r>
            <w:proofErr w:type="spellEnd"/>
            <w:r w:rsidRPr="00D35355">
              <w:rPr>
                <w:sz w:val="16"/>
                <w:szCs w:val="16"/>
                <w:lang w:val="en-US" w:eastAsia="en-US"/>
              </w:rPr>
              <w:t xml:space="preserve"> </w:t>
            </w:r>
            <w:proofErr w:type="spellStart"/>
            <w:r w:rsidRPr="00D35355">
              <w:rPr>
                <w:sz w:val="16"/>
                <w:szCs w:val="16"/>
                <w:lang w:val="en-US" w:eastAsia="en-US"/>
              </w:rPr>
              <w:t>apnesumus</w:t>
            </w:r>
            <w:proofErr w:type="spellEnd"/>
            <w:r w:rsidRPr="00D35355">
              <w:rPr>
                <w:sz w:val="16"/>
                <w:szCs w:val="16"/>
                <w:lang w:val="en-US" w:eastAsia="en-US"/>
              </w:rPr>
              <w:t xml:space="preserve">, </w:t>
            </w:r>
            <w:proofErr w:type="spellStart"/>
            <w:r w:rsidRPr="00D35355">
              <w:rPr>
                <w:sz w:val="16"/>
                <w:szCs w:val="16"/>
                <w:lang w:val="en-US" w:eastAsia="en-US"/>
              </w:rPr>
              <w:t>sodrējus</w:t>
            </w:r>
            <w:proofErr w:type="spellEnd"/>
            <w:r w:rsidRPr="00D35355">
              <w:rPr>
                <w:sz w:val="16"/>
                <w:szCs w:val="16"/>
                <w:lang w:val="en-US" w:eastAsia="en-US"/>
              </w:rPr>
              <w:t xml:space="preserve"> no </w:t>
            </w:r>
            <w:proofErr w:type="spellStart"/>
            <w:r w:rsidRPr="00D35355">
              <w:rPr>
                <w:sz w:val="16"/>
                <w:szCs w:val="16"/>
                <w:lang w:val="en-US" w:eastAsia="en-US"/>
              </w:rPr>
              <w:t>keramikas</w:t>
            </w:r>
            <w:proofErr w:type="spellEnd"/>
            <w:r w:rsidRPr="00D35355">
              <w:rPr>
                <w:sz w:val="16"/>
                <w:szCs w:val="16"/>
                <w:lang w:val="en-US" w:eastAsia="en-US"/>
              </w:rPr>
              <w:t xml:space="preserve">, </w:t>
            </w:r>
            <w:proofErr w:type="spellStart"/>
            <w:r w:rsidRPr="00D35355">
              <w:rPr>
                <w:sz w:val="16"/>
                <w:szCs w:val="16"/>
                <w:lang w:val="en-US" w:eastAsia="en-US"/>
              </w:rPr>
              <w:t>plastika</w:t>
            </w:r>
            <w:proofErr w:type="spellEnd"/>
            <w:r w:rsidRPr="00D35355">
              <w:rPr>
                <w:sz w:val="16"/>
                <w:szCs w:val="16"/>
                <w:lang w:val="en-US" w:eastAsia="en-US"/>
              </w:rPr>
              <w:t xml:space="preserve">, </w:t>
            </w:r>
            <w:proofErr w:type="spellStart"/>
            <w:r w:rsidRPr="00D35355">
              <w:rPr>
                <w:sz w:val="16"/>
                <w:szCs w:val="16"/>
                <w:lang w:val="en-US" w:eastAsia="en-US"/>
              </w:rPr>
              <w:t>stikla</w:t>
            </w:r>
            <w:proofErr w:type="spellEnd"/>
            <w:r w:rsidRPr="00D35355">
              <w:rPr>
                <w:sz w:val="16"/>
                <w:szCs w:val="16"/>
                <w:lang w:val="en-US" w:eastAsia="en-US"/>
              </w:rPr>
              <w:t xml:space="preserve">, </w:t>
            </w:r>
            <w:proofErr w:type="spellStart"/>
            <w:r w:rsidRPr="00D35355">
              <w:rPr>
                <w:sz w:val="16"/>
                <w:szCs w:val="16"/>
                <w:lang w:val="en-US" w:eastAsia="en-US"/>
              </w:rPr>
              <w:t>hromētām</w:t>
            </w:r>
            <w:proofErr w:type="spellEnd"/>
            <w:r w:rsidRPr="00D35355">
              <w:rPr>
                <w:sz w:val="16"/>
                <w:szCs w:val="16"/>
                <w:lang w:val="en-US" w:eastAsia="en-US"/>
              </w:rPr>
              <w:t xml:space="preserve"> un </w:t>
            </w:r>
            <w:proofErr w:type="spellStart"/>
            <w:r w:rsidRPr="00D35355">
              <w:rPr>
                <w:sz w:val="16"/>
                <w:szCs w:val="16"/>
                <w:lang w:val="en-US" w:eastAsia="en-US"/>
              </w:rPr>
              <w:t>nerūsējušā</w:t>
            </w:r>
            <w:proofErr w:type="spellEnd"/>
            <w:r w:rsidRPr="00D35355">
              <w:rPr>
                <w:sz w:val="16"/>
                <w:szCs w:val="16"/>
                <w:lang w:val="en-US" w:eastAsia="en-US"/>
              </w:rPr>
              <w:t xml:space="preserve"> </w:t>
            </w:r>
            <w:proofErr w:type="spellStart"/>
            <w:r w:rsidRPr="00D35355">
              <w:rPr>
                <w:sz w:val="16"/>
                <w:szCs w:val="16"/>
                <w:lang w:val="en-US" w:eastAsia="en-US"/>
              </w:rPr>
              <w:t>tērauda</w:t>
            </w:r>
            <w:proofErr w:type="spellEnd"/>
            <w:r w:rsidRPr="00D35355">
              <w:rPr>
                <w:sz w:val="16"/>
                <w:szCs w:val="16"/>
                <w:lang w:val="en-US" w:eastAsia="en-US"/>
              </w:rPr>
              <w:t xml:space="preserve"> </w:t>
            </w:r>
            <w:proofErr w:type="spellStart"/>
            <w:r w:rsidRPr="00D35355">
              <w:rPr>
                <w:sz w:val="16"/>
                <w:szCs w:val="16"/>
                <w:lang w:val="en-US" w:eastAsia="en-US"/>
              </w:rPr>
              <w:t>virsmām</w:t>
            </w:r>
            <w:proofErr w:type="spellEnd"/>
            <w:r w:rsidRPr="00D35355">
              <w:rPr>
                <w:sz w:val="16"/>
                <w:szCs w:val="16"/>
                <w:lang w:val="en-US" w:eastAsia="en-US"/>
              </w:rPr>
              <w:t xml:space="preserve">.  </w:t>
            </w:r>
            <w:r w:rsidRPr="00D35355">
              <w:rPr>
                <w:i/>
                <w:color w:val="FF0000"/>
                <w:sz w:val="16"/>
                <w:szCs w:val="16"/>
                <w:highlight w:val="yellow"/>
                <w:lang w:val="en-US" w:eastAsia="en-US"/>
              </w:rPr>
              <w:t xml:space="preserve">PH </w:t>
            </w:r>
            <w:proofErr w:type="spellStart"/>
            <w:r w:rsidRPr="00D35355">
              <w:rPr>
                <w:i/>
                <w:color w:val="FF0000"/>
                <w:sz w:val="16"/>
                <w:szCs w:val="16"/>
                <w:highlight w:val="yellow"/>
                <w:lang w:val="en-US" w:eastAsia="en-US"/>
              </w:rPr>
              <w:t>līmenis</w:t>
            </w:r>
            <w:proofErr w:type="spellEnd"/>
            <w:r w:rsidRPr="00D35355">
              <w:rPr>
                <w:i/>
                <w:color w:val="FF0000"/>
                <w:sz w:val="16"/>
                <w:szCs w:val="16"/>
                <w:highlight w:val="yellow"/>
                <w:lang w:val="en-US" w:eastAsia="en-US"/>
              </w:rPr>
              <w:t xml:space="preserve"> 2.3.</w:t>
            </w:r>
            <w:r w:rsidRPr="00D35355">
              <w:rPr>
                <w:sz w:val="16"/>
                <w:szCs w:val="16"/>
                <w:lang w:val="en-US" w:eastAsia="en-US"/>
              </w:rPr>
              <w:t xml:space="preserve"> </w:t>
            </w:r>
            <w:proofErr w:type="spellStart"/>
            <w:r w:rsidRPr="00D35355">
              <w:rPr>
                <w:sz w:val="16"/>
                <w:szCs w:val="16"/>
                <w:lang w:val="en-US" w:eastAsia="en-US"/>
              </w:rPr>
              <w:t>Nesatur</w:t>
            </w:r>
            <w:proofErr w:type="spellEnd"/>
            <w:r w:rsidRPr="00D35355">
              <w:rPr>
                <w:sz w:val="16"/>
                <w:szCs w:val="16"/>
                <w:lang w:val="en-US" w:eastAsia="en-US"/>
              </w:rPr>
              <w:t xml:space="preserve"> </w:t>
            </w:r>
            <w:proofErr w:type="spellStart"/>
            <w:r w:rsidRPr="00D35355">
              <w:rPr>
                <w:sz w:val="16"/>
                <w:szCs w:val="16"/>
                <w:lang w:val="en-US" w:eastAsia="en-US"/>
              </w:rPr>
              <w:t>hloru</w:t>
            </w:r>
            <w:proofErr w:type="spellEnd"/>
            <w:r w:rsidRPr="00D35355">
              <w:rPr>
                <w:sz w:val="16"/>
                <w:szCs w:val="16"/>
                <w:lang w:val="en-US" w:eastAsia="en-US"/>
              </w:rPr>
              <w:t xml:space="preserve">. </w:t>
            </w:r>
            <w:proofErr w:type="spellStart"/>
            <w:r w:rsidRPr="00D35355">
              <w:rPr>
                <w:sz w:val="16"/>
                <w:szCs w:val="16"/>
                <w:lang w:val="en-US" w:eastAsia="en-US"/>
              </w:rPr>
              <w:t>Sastāvs</w:t>
            </w:r>
            <w:proofErr w:type="spellEnd"/>
            <w:r w:rsidRPr="00D35355">
              <w:rPr>
                <w:sz w:val="16"/>
                <w:szCs w:val="16"/>
                <w:lang w:val="en-US" w:eastAsia="en-US"/>
              </w:rPr>
              <w:t xml:space="preserve">: 5-15% </w:t>
            </w:r>
            <w:proofErr w:type="spellStart"/>
            <w:r w:rsidRPr="00D35355">
              <w:rPr>
                <w:sz w:val="16"/>
                <w:szCs w:val="16"/>
                <w:lang w:val="en-US" w:eastAsia="en-US"/>
              </w:rPr>
              <w:t>sulfamīnskābes</w:t>
            </w:r>
            <w:proofErr w:type="spellEnd"/>
            <w:r w:rsidRPr="00D35355">
              <w:rPr>
                <w:sz w:val="16"/>
                <w:szCs w:val="16"/>
                <w:lang w:val="en-US" w:eastAsia="en-US"/>
              </w:rPr>
              <w:t xml:space="preserve">, &lt; 5% </w:t>
            </w:r>
            <w:proofErr w:type="spellStart"/>
            <w:r w:rsidRPr="00D35355">
              <w:rPr>
                <w:sz w:val="16"/>
                <w:szCs w:val="16"/>
                <w:lang w:val="en-US" w:eastAsia="en-US"/>
              </w:rPr>
              <w:t>fosforskābes</w:t>
            </w:r>
            <w:proofErr w:type="spellEnd"/>
            <w:r w:rsidRPr="00D35355">
              <w:rPr>
                <w:sz w:val="16"/>
                <w:szCs w:val="16"/>
                <w:lang w:val="en-US" w:eastAsia="en-US"/>
              </w:rPr>
              <w:t xml:space="preserve">, &lt; 5% </w:t>
            </w:r>
            <w:proofErr w:type="spellStart"/>
            <w:r w:rsidRPr="00D35355">
              <w:rPr>
                <w:sz w:val="16"/>
                <w:szCs w:val="16"/>
                <w:lang w:val="en-US" w:eastAsia="en-US"/>
              </w:rPr>
              <w:t>nejonu</w:t>
            </w:r>
            <w:proofErr w:type="spellEnd"/>
            <w:r w:rsidRPr="00D35355">
              <w:rPr>
                <w:sz w:val="16"/>
                <w:szCs w:val="16"/>
                <w:lang w:val="en-US" w:eastAsia="en-US"/>
              </w:rPr>
              <w:t xml:space="preserve"> </w:t>
            </w:r>
            <w:proofErr w:type="spellStart"/>
            <w:r w:rsidRPr="00D35355">
              <w:rPr>
                <w:sz w:val="16"/>
                <w:szCs w:val="16"/>
                <w:lang w:val="en-US" w:eastAsia="en-US"/>
              </w:rPr>
              <w:t>virsmaktīvās</w:t>
            </w:r>
            <w:proofErr w:type="spellEnd"/>
            <w:r w:rsidRPr="00D35355">
              <w:rPr>
                <w:sz w:val="16"/>
                <w:szCs w:val="16"/>
                <w:lang w:val="en-US" w:eastAsia="en-US"/>
              </w:rPr>
              <w:t xml:space="preserve"> </w:t>
            </w:r>
            <w:proofErr w:type="spellStart"/>
            <w:r w:rsidRPr="00D35355">
              <w:rPr>
                <w:sz w:val="16"/>
                <w:szCs w:val="16"/>
                <w:lang w:val="en-US" w:eastAsia="en-US"/>
              </w:rPr>
              <w:t>vielas</w:t>
            </w:r>
            <w:proofErr w:type="spellEnd"/>
            <w:r w:rsidRPr="00D35355">
              <w:rPr>
                <w:sz w:val="16"/>
                <w:szCs w:val="16"/>
                <w:lang w:val="en-US" w:eastAsia="en-US"/>
              </w:rPr>
              <w:t xml:space="preserve">, &lt; 5% </w:t>
            </w:r>
            <w:proofErr w:type="spellStart"/>
            <w:r w:rsidRPr="00D35355">
              <w:rPr>
                <w:sz w:val="16"/>
                <w:szCs w:val="16"/>
                <w:lang w:val="en-US" w:eastAsia="en-US"/>
              </w:rPr>
              <w:t>fosfonātu</w:t>
            </w:r>
            <w:proofErr w:type="spellEnd"/>
            <w:r w:rsidRPr="00D35355">
              <w:rPr>
                <w:sz w:val="16"/>
                <w:szCs w:val="16"/>
                <w:lang w:val="en-US" w:eastAsia="en-US"/>
              </w:rPr>
              <w:t xml:space="preserve">, </w:t>
            </w:r>
            <w:proofErr w:type="spellStart"/>
            <w:r w:rsidRPr="00D35355">
              <w:rPr>
                <w:sz w:val="16"/>
                <w:szCs w:val="16"/>
                <w:lang w:val="en-US" w:eastAsia="en-US"/>
              </w:rPr>
              <w:t>aromātiska</w:t>
            </w:r>
            <w:proofErr w:type="spellEnd"/>
            <w:r w:rsidRPr="00D35355">
              <w:rPr>
                <w:sz w:val="16"/>
                <w:szCs w:val="16"/>
                <w:lang w:val="en-US" w:eastAsia="en-US"/>
              </w:rPr>
              <w:t xml:space="preserve"> </w:t>
            </w:r>
            <w:proofErr w:type="spellStart"/>
            <w:r w:rsidRPr="00D35355">
              <w:rPr>
                <w:sz w:val="16"/>
                <w:szCs w:val="16"/>
                <w:lang w:val="en-US" w:eastAsia="en-US"/>
              </w:rPr>
              <w:t>viela</w:t>
            </w:r>
            <w:proofErr w:type="spellEnd"/>
            <w:r w:rsidRPr="00D35355">
              <w:rPr>
                <w:sz w:val="16"/>
                <w:szCs w:val="16"/>
                <w:lang w:val="en-US" w:eastAsia="en-US"/>
              </w:rPr>
              <w:t xml:space="preserve">, </w:t>
            </w:r>
            <w:proofErr w:type="spellStart"/>
            <w:r w:rsidRPr="00D35355">
              <w:rPr>
                <w:sz w:val="16"/>
                <w:szCs w:val="16"/>
                <w:lang w:val="en-US" w:eastAsia="en-US"/>
              </w:rPr>
              <w:t>krāsvielas</w:t>
            </w:r>
            <w:proofErr w:type="spellEnd"/>
            <w:r w:rsidRPr="00D35355">
              <w:rPr>
                <w:sz w:val="16"/>
                <w:szCs w:val="16"/>
                <w:lang w:val="en-US" w:eastAsia="en-US"/>
              </w:rPr>
              <w:t xml:space="preserve">. </w:t>
            </w:r>
            <w:proofErr w:type="spellStart"/>
            <w:r w:rsidRPr="00D35355">
              <w:rPr>
                <w:sz w:val="16"/>
                <w:szCs w:val="16"/>
                <w:lang w:val="en-US" w:eastAsia="en-US"/>
              </w:rPr>
              <w:t>Iepakojums</w:t>
            </w:r>
            <w:proofErr w:type="spellEnd"/>
            <w:r w:rsidRPr="00D35355">
              <w:rPr>
                <w:sz w:val="16"/>
                <w:szCs w:val="16"/>
                <w:lang w:val="en-US" w:eastAsia="en-US"/>
              </w:rPr>
              <w:t xml:space="preserve">: 750 ml </w:t>
            </w:r>
            <w:proofErr w:type="spellStart"/>
            <w:r w:rsidRPr="00D35355">
              <w:rPr>
                <w:sz w:val="16"/>
                <w:szCs w:val="16"/>
                <w:lang w:val="en-US" w:eastAsia="en-US"/>
              </w:rPr>
              <w:t>ar</w:t>
            </w:r>
            <w:proofErr w:type="spellEnd"/>
            <w:r w:rsidRPr="00D35355">
              <w:rPr>
                <w:sz w:val="16"/>
                <w:szCs w:val="16"/>
                <w:lang w:val="en-US" w:eastAsia="en-US"/>
              </w:rPr>
              <w:t xml:space="preserve"> </w:t>
            </w:r>
            <w:proofErr w:type="spellStart"/>
            <w:r w:rsidRPr="00D35355">
              <w:rPr>
                <w:sz w:val="16"/>
                <w:szCs w:val="16"/>
                <w:lang w:val="en-US" w:eastAsia="en-US"/>
              </w:rPr>
              <w:t>smidzinātāju</w:t>
            </w:r>
            <w:proofErr w:type="spellEnd"/>
            <w:r w:rsidRPr="00D35355">
              <w:rPr>
                <w:sz w:val="16"/>
                <w:szCs w:val="16"/>
                <w:lang w:val="en-US" w:eastAsia="en-US"/>
              </w:rPr>
              <w:t>.</w:t>
            </w:r>
          </w:p>
          <w:p w14:paraId="17B89681" w14:textId="7C069165" w:rsidR="00D35355" w:rsidRPr="00D35355" w:rsidRDefault="00D35355" w:rsidP="005F041F">
            <w:pPr>
              <w:rPr>
                <w:i/>
                <w:color w:val="FF0000"/>
                <w:sz w:val="16"/>
                <w:szCs w:val="16"/>
                <w:lang w:val="en-US" w:eastAsia="en-US"/>
              </w:rPr>
            </w:pPr>
            <w:proofErr w:type="spellStart"/>
            <w:r w:rsidRPr="00D35355">
              <w:rPr>
                <w:i/>
                <w:color w:val="FF0000"/>
                <w:sz w:val="16"/>
                <w:szCs w:val="16"/>
                <w:highlight w:val="yellow"/>
                <w:lang w:val="en-US" w:eastAsia="en-US"/>
              </w:rPr>
              <w:t>Sastāvā</w:t>
            </w:r>
            <w:proofErr w:type="spellEnd"/>
            <w:r w:rsidRPr="00D35355">
              <w:rPr>
                <w:i/>
                <w:color w:val="FF0000"/>
                <w:sz w:val="16"/>
                <w:szCs w:val="16"/>
                <w:highlight w:val="yellow"/>
                <w:lang w:val="en-US" w:eastAsia="en-US"/>
              </w:rPr>
              <w:t xml:space="preserve"> </w:t>
            </w:r>
            <w:proofErr w:type="spellStart"/>
            <w:r w:rsidRPr="00D35355">
              <w:rPr>
                <w:i/>
                <w:color w:val="FF0000"/>
                <w:sz w:val="16"/>
                <w:szCs w:val="16"/>
                <w:highlight w:val="yellow"/>
                <w:lang w:val="en-US" w:eastAsia="en-US"/>
              </w:rPr>
              <w:t>nav</w:t>
            </w:r>
            <w:proofErr w:type="spellEnd"/>
            <w:r w:rsidRPr="00D35355">
              <w:rPr>
                <w:i/>
                <w:color w:val="FF0000"/>
                <w:sz w:val="16"/>
                <w:szCs w:val="16"/>
                <w:highlight w:val="yellow"/>
                <w:lang w:val="en-US" w:eastAsia="en-US"/>
              </w:rPr>
              <w:t xml:space="preserve"> </w:t>
            </w:r>
            <w:proofErr w:type="spellStart"/>
            <w:r w:rsidRPr="00D35355">
              <w:rPr>
                <w:i/>
                <w:color w:val="FF0000"/>
                <w:sz w:val="16"/>
                <w:szCs w:val="16"/>
                <w:highlight w:val="yellow"/>
                <w:lang w:val="en-US" w:eastAsia="en-US"/>
              </w:rPr>
              <w:t>anjonu</w:t>
            </w:r>
            <w:proofErr w:type="spellEnd"/>
            <w:r w:rsidRPr="00D35355">
              <w:rPr>
                <w:i/>
                <w:color w:val="FF0000"/>
                <w:sz w:val="16"/>
                <w:szCs w:val="16"/>
                <w:highlight w:val="yellow"/>
                <w:lang w:val="en-US" w:eastAsia="en-US"/>
              </w:rPr>
              <w:t xml:space="preserve"> (</w:t>
            </w:r>
            <w:proofErr w:type="spellStart"/>
            <w:r w:rsidRPr="00D35355">
              <w:rPr>
                <w:i/>
                <w:color w:val="FF0000"/>
                <w:sz w:val="16"/>
                <w:szCs w:val="16"/>
                <w:highlight w:val="yellow"/>
                <w:lang w:val="en-US" w:eastAsia="en-US"/>
              </w:rPr>
              <w:t>ražotāja</w:t>
            </w:r>
            <w:proofErr w:type="spellEnd"/>
            <w:r w:rsidRPr="00D35355">
              <w:rPr>
                <w:i/>
                <w:color w:val="FF0000"/>
                <w:sz w:val="16"/>
                <w:szCs w:val="16"/>
                <w:highlight w:val="yellow"/>
                <w:lang w:val="en-US" w:eastAsia="en-US"/>
              </w:rPr>
              <w:t xml:space="preserve"> </w:t>
            </w:r>
            <w:proofErr w:type="spellStart"/>
            <w:r w:rsidRPr="00D35355">
              <w:rPr>
                <w:i/>
                <w:color w:val="FF0000"/>
                <w:sz w:val="16"/>
                <w:szCs w:val="16"/>
                <w:highlight w:val="yellow"/>
                <w:lang w:val="en-US" w:eastAsia="en-US"/>
              </w:rPr>
              <w:t>informācija</w:t>
            </w:r>
            <w:proofErr w:type="spellEnd"/>
            <w:r>
              <w:rPr>
                <w:i/>
                <w:color w:val="FF0000"/>
                <w:sz w:val="16"/>
                <w:szCs w:val="16"/>
                <w:highlight w:val="yellow"/>
                <w:lang w:val="en-US" w:eastAsia="en-US"/>
              </w:rPr>
              <w:t xml:space="preserve"> </w:t>
            </w:r>
            <w:proofErr w:type="spellStart"/>
            <w:r>
              <w:rPr>
                <w:i/>
                <w:color w:val="FF0000"/>
                <w:sz w:val="16"/>
                <w:szCs w:val="16"/>
                <w:highlight w:val="yellow"/>
                <w:lang w:val="en-US" w:eastAsia="en-US"/>
              </w:rPr>
              <w:t>piedāvājuma</w:t>
            </w:r>
            <w:proofErr w:type="spellEnd"/>
            <w:r>
              <w:rPr>
                <w:i/>
                <w:color w:val="FF0000"/>
                <w:sz w:val="16"/>
                <w:szCs w:val="16"/>
                <w:highlight w:val="yellow"/>
                <w:lang w:val="en-US" w:eastAsia="en-US"/>
              </w:rPr>
              <w:t xml:space="preserve"> </w:t>
            </w:r>
            <w:r w:rsidRPr="00D35355">
              <w:rPr>
                <w:i/>
                <w:color w:val="FF0000"/>
                <w:sz w:val="16"/>
                <w:szCs w:val="16"/>
                <w:highlight w:val="yellow"/>
                <w:lang w:val="en-US" w:eastAsia="en-US"/>
              </w:rPr>
              <w:t xml:space="preserve"> 11lp.)</w:t>
            </w:r>
          </w:p>
          <w:p w14:paraId="1F729A46" w14:textId="77777777" w:rsidR="00D35355" w:rsidRPr="00D35355" w:rsidRDefault="00D35355" w:rsidP="005F041F">
            <w:pPr>
              <w:rPr>
                <w:b/>
                <w:color w:val="FF0000"/>
                <w:sz w:val="16"/>
                <w:szCs w:val="16"/>
                <w:lang w:val="en-US" w:eastAsia="en-US"/>
              </w:rPr>
            </w:pPr>
            <w:r w:rsidRPr="00D35355">
              <w:rPr>
                <w:b/>
                <w:i/>
                <w:color w:val="FF0000"/>
                <w:sz w:val="16"/>
                <w:szCs w:val="16"/>
                <w:lang w:val="en-US" w:eastAsia="en-US"/>
              </w:rPr>
              <w:t>NEATBILST</w:t>
            </w:r>
          </w:p>
        </w:tc>
      </w:tr>
      <w:tr w:rsidR="005F041F" w:rsidRPr="00D35355" w14:paraId="31E0E425" w14:textId="77777777" w:rsidTr="00124BE5">
        <w:trPr>
          <w:trHeight w:val="2400"/>
        </w:trPr>
        <w:tc>
          <w:tcPr>
            <w:tcW w:w="337" w:type="pct"/>
            <w:shd w:val="clear" w:color="000000" w:fill="FFFFFF"/>
            <w:noWrap/>
            <w:hideMark/>
          </w:tcPr>
          <w:p w14:paraId="45A015F6" w14:textId="77777777" w:rsidR="00D35355" w:rsidRPr="00D35355" w:rsidRDefault="00D35355" w:rsidP="005F041F">
            <w:pPr>
              <w:jc w:val="center"/>
              <w:rPr>
                <w:sz w:val="18"/>
                <w:szCs w:val="18"/>
                <w:lang w:val="en-US" w:eastAsia="en-US"/>
              </w:rPr>
            </w:pPr>
            <w:r w:rsidRPr="00D35355">
              <w:rPr>
                <w:sz w:val="18"/>
                <w:szCs w:val="18"/>
                <w:lang w:val="en-US" w:eastAsia="en-US"/>
              </w:rPr>
              <w:lastRenderedPageBreak/>
              <w:t>6</w:t>
            </w:r>
          </w:p>
        </w:tc>
        <w:tc>
          <w:tcPr>
            <w:tcW w:w="746" w:type="pct"/>
            <w:shd w:val="clear" w:color="000000" w:fill="FFFFFF"/>
            <w:hideMark/>
          </w:tcPr>
          <w:p w14:paraId="2977676B" w14:textId="77777777" w:rsidR="00D35355" w:rsidRPr="00D35355" w:rsidRDefault="00D35355" w:rsidP="005F041F">
            <w:pPr>
              <w:jc w:val="center"/>
              <w:rPr>
                <w:sz w:val="18"/>
                <w:szCs w:val="18"/>
                <w:lang w:val="en-US" w:eastAsia="en-US"/>
              </w:rPr>
            </w:pPr>
            <w:proofErr w:type="spellStart"/>
            <w:r w:rsidRPr="00D35355">
              <w:rPr>
                <w:sz w:val="18"/>
                <w:szCs w:val="18"/>
                <w:lang w:val="en-US" w:eastAsia="en-US"/>
              </w:rPr>
              <w:t>Stiklu</w:t>
            </w:r>
            <w:proofErr w:type="spellEnd"/>
            <w:r w:rsidRPr="00D35355">
              <w:rPr>
                <w:sz w:val="18"/>
                <w:szCs w:val="18"/>
                <w:lang w:val="en-US" w:eastAsia="en-US"/>
              </w:rPr>
              <w:t xml:space="preserve"> </w:t>
            </w:r>
            <w:proofErr w:type="spellStart"/>
            <w:r w:rsidRPr="00D35355">
              <w:rPr>
                <w:sz w:val="18"/>
                <w:szCs w:val="18"/>
                <w:lang w:val="en-US" w:eastAsia="en-US"/>
              </w:rPr>
              <w:t>tīrīšanas</w:t>
            </w:r>
            <w:proofErr w:type="spellEnd"/>
            <w:r w:rsidRPr="00D35355">
              <w:rPr>
                <w:sz w:val="18"/>
                <w:szCs w:val="18"/>
                <w:lang w:val="en-US" w:eastAsia="en-US"/>
              </w:rPr>
              <w:t xml:space="preserve"> </w:t>
            </w:r>
            <w:proofErr w:type="spellStart"/>
            <w:r w:rsidRPr="00D35355">
              <w:rPr>
                <w:sz w:val="18"/>
                <w:szCs w:val="18"/>
                <w:lang w:val="en-US" w:eastAsia="en-US"/>
              </w:rPr>
              <w:t>līdzeklis</w:t>
            </w:r>
            <w:proofErr w:type="spellEnd"/>
          </w:p>
        </w:tc>
        <w:tc>
          <w:tcPr>
            <w:tcW w:w="1815" w:type="pct"/>
            <w:shd w:val="clear" w:color="000000" w:fill="FFFFFF"/>
            <w:hideMark/>
          </w:tcPr>
          <w:p w14:paraId="64C740AC" w14:textId="77777777" w:rsidR="00D35355" w:rsidRPr="00D35355" w:rsidRDefault="00D35355" w:rsidP="005F041F">
            <w:pPr>
              <w:rPr>
                <w:color w:val="000000"/>
                <w:sz w:val="18"/>
                <w:szCs w:val="18"/>
                <w:lang w:val="en-US" w:eastAsia="en-US"/>
              </w:rPr>
            </w:pPr>
            <w:proofErr w:type="spellStart"/>
            <w:r w:rsidRPr="00D35355">
              <w:rPr>
                <w:color w:val="000000"/>
                <w:sz w:val="18"/>
                <w:szCs w:val="18"/>
                <w:lang w:val="en-US" w:eastAsia="en-US"/>
              </w:rPr>
              <w:t>Veicamās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funkcijas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logu</w:t>
            </w:r>
            <w:proofErr w:type="spellEnd"/>
            <w:r w:rsidRPr="00D35355">
              <w:rPr>
                <w:color w:val="000000"/>
                <w:sz w:val="18"/>
                <w:szCs w:val="18"/>
                <w:lang w:val="en-US" w:eastAsia="en-US"/>
              </w:rPr>
              <w:t xml:space="preserve"> un </w:t>
            </w:r>
            <w:proofErr w:type="spellStart"/>
            <w:r w:rsidRPr="00D35355">
              <w:rPr>
                <w:color w:val="000000"/>
                <w:sz w:val="18"/>
                <w:szCs w:val="18"/>
                <w:lang w:val="en-US" w:eastAsia="en-US"/>
              </w:rPr>
              <w:t>stikla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mazgāšanai</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Tehniskās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prasības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izsmidzināms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neveido</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gaismas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atstarojošu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pārklājumu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nesatur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spirtus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Satur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anjonu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amfotērās</w:t>
            </w:r>
            <w:proofErr w:type="spellEnd"/>
            <w:r w:rsidRPr="00D35355">
              <w:rPr>
                <w:color w:val="000000"/>
                <w:sz w:val="18"/>
                <w:szCs w:val="18"/>
                <w:lang w:val="en-US" w:eastAsia="en-US"/>
              </w:rPr>
              <w:t xml:space="preserve"> un </w:t>
            </w:r>
            <w:proofErr w:type="spellStart"/>
            <w:r w:rsidRPr="00D35355">
              <w:rPr>
                <w:color w:val="000000"/>
                <w:sz w:val="18"/>
                <w:szCs w:val="18"/>
                <w:lang w:val="en-US" w:eastAsia="en-US"/>
              </w:rPr>
              <w:t>nejonu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virsmaktīvās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vielas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kā</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arī</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sudraba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nanodaļiņas</w:t>
            </w:r>
            <w:proofErr w:type="spellEnd"/>
            <w:r w:rsidRPr="00D35355">
              <w:rPr>
                <w:color w:val="000000"/>
                <w:sz w:val="18"/>
                <w:szCs w:val="18"/>
                <w:lang w:val="en-US" w:eastAsia="en-US"/>
              </w:rPr>
              <w:t xml:space="preserve">. </w:t>
            </w:r>
            <w:proofErr w:type="spellStart"/>
            <w:r w:rsidRPr="00D35355">
              <w:rPr>
                <w:b/>
                <w:bCs/>
                <w:color w:val="000000"/>
                <w:sz w:val="18"/>
                <w:szCs w:val="18"/>
                <w:lang w:val="en-US" w:eastAsia="en-US"/>
              </w:rPr>
              <w:t>Gatavs</w:t>
            </w:r>
            <w:proofErr w:type="spellEnd"/>
            <w:r w:rsidRPr="00D35355">
              <w:rPr>
                <w:b/>
                <w:bCs/>
                <w:color w:val="000000"/>
                <w:sz w:val="18"/>
                <w:szCs w:val="18"/>
                <w:lang w:val="en-US" w:eastAsia="en-US"/>
              </w:rPr>
              <w:t xml:space="preserve"> </w:t>
            </w:r>
            <w:proofErr w:type="spellStart"/>
            <w:r w:rsidRPr="00D35355">
              <w:rPr>
                <w:b/>
                <w:bCs/>
                <w:color w:val="000000"/>
                <w:sz w:val="18"/>
                <w:szCs w:val="18"/>
                <w:lang w:val="en-US" w:eastAsia="en-US"/>
              </w:rPr>
              <w:t>lietošanai</w:t>
            </w:r>
            <w:proofErr w:type="spellEnd"/>
            <w:r w:rsidRPr="00D35355">
              <w:rPr>
                <w:b/>
                <w:bCs/>
                <w:color w:val="000000"/>
                <w:sz w:val="18"/>
                <w:szCs w:val="18"/>
                <w:lang w:val="en-US" w:eastAsia="en-US"/>
              </w:rPr>
              <w:t>.</w:t>
            </w:r>
            <w:r w:rsidRPr="00D35355">
              <w:rPr>
                <w:color w:val="000000"/>
                <w:sz w:val="18"/>
                <w:szCs w:val="18"/>
                <w:lang w:val="en-US" w:eastAsia="en-US"/>
              </w:rPr>
              <w:t xml:space="preserve"> </w:t>
            </w:r>
            <w:proofErr w:type="spellStart"/>
            <w:r w:rsidRPr="00D35355">
              <w:rPr>
                <w:color w:val="000000"/>
                <w:sz w:val="18"/>
                <w:szCs w:val="18"/>
                <w:lang w:val="en-US" w:eastAsia="en-US"/>
              </w:rPr>
              <w:t>Nodrošina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spīdumu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neatstāj</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svītras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aizsargā</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stikla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pret</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svīšanu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aizkavē</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kondensāta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veidošanos</w:t>
            </w:r>
            <w:proofErr w:type="spellEnd"/>
            <w:r w:rsidRPr="00D35355">
              <w:rPr>
                <w:color w:val="000000"/>
                <w:sz w:val="18"/>
                <w:szCs w:val="18"/>
                <w:lang w:val="en-US" w:eastAsia="en-US"/>
              </w:rPr>
              <w:t>.</w:t>
            </w:r>
            <w:r w:rsidRPr="00D35355">
              <w:rPr>
                <w:b/>
                <w:bCs/>
                <w:color w:val="000000"/>
                <w:sz w:val="18"/>
                <w:szCs w:val="18"/>
                <w:lang w:val="en-US" w:eastAsia="en-US"/>
              </w:rPr>
              <w:t xml:space="preserve"> </w:t>
            </w:r>
            <w:proofErr w:type="spellStart"/>
            <w:r w:rsidRPr="00D35355">
              <w:rPr>
                <w:b/>
                <w:bCs/>
                <w:color w:val="000000"/>
                <w:sz w:val="18"/>
                <w:szCs w:val="18"/>
                <w:lang w:val="en-US" w:eastAsia="en-US"/>
              </w:rPr>
              <w:t>Ar</w:t>
            </w:r>
            <w:proofErr w:type="spellEnd"/>
            <w:r w:rsidRPr="00D35355">
              <w:rPr>
                <w:b/>
                <w:bCs/>
                <w:color w:val="000000"/>
                <w:sz w:val="18"/>
                <w:szCs w:val="18"/>
                <w:lang w:val="en-US" w:eastAsia="en-US"/>
              </w:rPr>
              <w:t xml:space="preserve"> </w:t>
            </w:r>
            <w:proofErr w:type="spellStart"/>
            <w:r w:rsidRPr="00D35355">
              <w:rPr>
                <w:b/>
                <w:bCs/>
                <w:color w:val="000000"/>
                <w:sz w:val="18"/>
                <w:szCs w:val="18"/>
                <w:lang w:val="en-US" w:eastAsia="en-US"/>
              </w:rPr>
              <w:t>antistatisku</w:t>
            </w:r>
            <w:proofErr w:type="spellEnd"/>
            <w:r w:rsidRPr="00D35355">
              <w:rPr>
                <w:b/>
                <w:bCs/>
                <w:color w:val="000000"/>
                <w:sz w:val="18"/>
                <w:szCs w:val="18"/>
                <w:lang w:val="en-US" w:eastAsia="en-US"/>
              </w:rPr>
              <w:t xml:space="preserve"> </w:t>
            </w:r>
            <w:proofErr w:type="spellStart"/>
            <w:r w:rsidRPr="00D35355">
              <w:rPr>
                <w:b/>
                <w:bCs/>
                <w:color w:val="000000"/>
                <w:sz w:val="18"/>
                <w:szCs w:val="18"/>
                <w:lang w:val="en-US" w:eastAsia="en-US"/>
              </w:rPr>
              <w:t>efektu</w:t>
            </w:r>
            <w:proofErr w:type="spellEnd"/>
            <w:r w:rsidRPr="00D35355">
              <w:rPr>
                <w:b/>
                <w:bCs/>
                <w:color w:val="000000"/>
                <w:sz w:val="18"/>
                <w:szCs w:val="18"/>
                <w:lang w:val="en-US" w:eastAsia="en-US"/>
              </w:rPr>
              <w:t>.</w:t>
            </w:r>
            <w:r w:rsidRPr="00D35355">
              <w:rPr>
                <w:color w:val="000000"/>
                <w:sz w:val="18"/>
                <w:szCs w:val="18"/>
                <w:lang w:val="en-US" w:eastAsia="en-US"/>
              </w:rPr>
              <w:t xml:space="preserve"> </w:t>
            </w:r>
            <w:proofErr w:type="spellStart"/>
            <w:r w:rsidRPr="00D35355">
              <w:rPr>
                <w:color w:val="000000"/>
                <w:sz w:val="18"/>
                <w:szCs w:val="18"/>
                <w:lang w:val="en-US" w:eastAsia="en-US"/>
              </w:rPr>
              <w:t>Iepakojums</w:t>
            </w:r>
            <w:proofErr w:type="spellEnd"/>
            <w:r w:rsidRPr="00D35355">
              <w:rPr>
                <w:color w:val="000000"/>
                <w:sz w:val="18"/>
                <w:szCs w:val="18"/>
                <w:lang w:val="en-US" w:eastAsia="en-US"/>
              </w:rPr>
              <w:t xml:space="preserve">: 0.5-1L </w:t>
            </w:r>
            <w:proofErr w:type="spellStart"/>
            <w:r w:rsidRPr="00D35355">
              <w:rPr>
                <w:color w:val="000000"/>
                <w:sz w:val="18"/>
                <w:szCs w:val="18"/>
                <w:lang w:val="en-US" w:eastAsia="en-US"/>
              </w:rPr>
              <w:t>ar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smidzinātāju</w:t>
            </w:r>
            <w:proofErr w:type="spellEnd"/>
          </w:p>
        </w:tc>
        <w:tc>
          <w:tcPr>
            <w:tcW w:w="2102" w:type="pct"/>
            <w:shd w:val="clear" w:color="000000" w:fill="FFFFFF"/>
            <w:hideMark/>
          </w:tcPr>
          <w:p w14:paraId="2F9DF5CC" w14:textId="77777777" w:rsidR="00D35355" w:rsidRPr="00D35355" w:rsidRDefault="00D35355" w:rsidP="005F041F">
            <w:pPr>
              <w:rPr>
                <w:color w:val="000000"/>
                <w:sz w:val="18"/>
                <w:szCs w:val="18"/>
                <w:lang w:val="en-US" w:eastAsia="en-US"/>
              </w:rPr>
            </w:pPr>
            <w:proofErr w:type="spellStart"/>
            <w:r w:rsidRPr="00D35355">
              <w:rPr>
                <w:color w:val="000000"/>
                <w:sz w:val="18"/>
                <w:szCs w:val="18"/>
                <w:lang w:val="en-US" w:eastAsia="en-US"/>
              </w:rPr>
              <w:t>Logu</w:t>
            </w:r>
            <w:proofErr w:type="spellEnd"/>
            <w:r w:rsidRPr="00D35355">
              <w:rPr>
                <w:color w:val="000000"/>
                <w:sz w:val="18"/>
                <w:szCs w:val="18"/>
                <w:lang w:val="en-US" w:eastAsia="en-US"/>
              </w:rPr>
              <w:t xml:space="preserve"> un </w:t>
            </w:r>
            <w:proofErr w:type="spellStart"/>
            <w:r w:rsidRPr="00D35355">
              <w:rPr>
                <w:color w:val="000000"/>
                <w:sz w:val="18"/>
                <w:szCs w:val="18"/>
                <w:lang w:val="en-US" w:eastAsia="en-US"/>
              </w:rPr>
              <w:t>stikla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mazgāšanas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līdfzeklis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Izsmidzināms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neveido</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gaismas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atstarojošu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pārklājumu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Satur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nejonu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virsmaktīvās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vielas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Gatavs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lietošanai</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Nodrošina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spīdumu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neatstāj</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svītras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aizsargā</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stikla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virsmas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pret</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svīšanu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aizkavē</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kondensāta</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veidošanos</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antistatisku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efektu</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Iepakojums</w:t>
            </w:r>
            <w:proofErr w:type="spellEnd"/>
            <w:r w:rsidRPr="00D35355">
              <w:rPr>
                <w:color w:val="000000"/>
                <w:sz w:val="18"/>
                <w:szCs w:val="18"/>
                <w:lang w:val="en-US" w:eastAsia="en-US"/>
              </w:rPr>
              <w:t xml:space="preserve">: 1L </w:t>
            </w:r>
            <w:proofErr w:type="spellStart"/>
            <w:r w:rsidRPr="00D35355">
              <w:rPr>
                <w:color w:val="000000"/>
                <w:sz w:val="18"/>
                <w:szCs w:val="18"/>
                <w:lang w:val="en-US" w:eastAsia="en-US"/>
              </w:rPr>
              <w:t>ar</w:t>
            </w:r>
            <w:proofErr w:type="spellEnd"/>
            <w:r w:rsidRPr="00D35355">
              <w:rPr>
                <w:color w:val="000000"/>
                <w:sz w:val="18"/>
                <w:szCs w:val="18"/>
                <w:lang w:val="en-US" w:eastAsia="en-US"/>
              </w:rPr>
              <w:t xml:space="preserve"> </w:t>
            </w:r>
            <w:proofErr w:type="spellStart"/>
            <w:r w:rsidRPr="00D35355">
              <w:rPr>
                <w:color w:val="000000"/>
                <w:sz w:val="18"/>
                <w:szCs w:val="18"/>
                <w:lang w:val="en-US" w:eastAsia="en-US"/>
              </w:rPr>
              <w:t>smidzinātāju</w:t>
            </w:r>
            <w:proofErr w:type="spellEnd"/>
          </w:p>
          <w:p w14:paraId="59EB6CDF" w14:textId="77777777" w:rsidR="00D35355" w:rsidRPr="00D35355" w:rsidRDefault="00D35355" w:rsidP="005F041F">
            <w:pPr>
              <w:rPr>
                <w:color w:val="000000"/>
                <w:sz w:val="18"/>
                <w:szCs w:val="18"/>
                <w:lang w:val="en-US" w:eastAsia="en-US"/>
              </w:rPr>
            </w:pPr>
          </w:p>
          <w:p w14:paraId="37BC9814" w14:textId="77777777" w:rsidR="00D35355" w:rsidRPr="00D35355" w:rsidRDefault="00D35355" w:rsidP="005F041F">
            <w:pPr>
              <w:rPr>
                <w:b/>
                <w:i/>
                <w:color w:val="FF0000"/>
                <w:sz w:val="18"/>
                <w:szCs w:val="18"/>
                <w:lang w:val="en-US" w:eastAsia="en-US"/>
              </w:rPr>
            </w:pPr>
            <w:r w:rsidRPr="00D35355">
              <w:rPr>
                <w:b/>
                <w:i/>
                <w:color w:val="FF0000"/>
                <w:sz w:val="18"/>
                <w:szCs w:val="18"/>
                <w:lang w:val="en-US" w:eastAsia="en-US"/>
              </w:rPr>
              <w:t xml:space="preserve">NEATBILST, jo </w:t>
            </w:r>
            <w:proofErr w:type="spellStart"/>
            <w:r w:rsidRPr="00D35355">
              <w:rPr>
                <w:b/>
                <w:i/>
                <w:color w:val="FF0000"/>
                <w:sz w:val="18"/>
                <w:szCs w:val="18"/>
                <w:lang w:val="en-US" w:eastAsia="en-US"/>
              </w:rPr>
              <w:t>sastāvā</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nav</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amfotērās</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virsmaktīvās</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vielas</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nav</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sudraba</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nanodaļiņas.Sastāvā</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etiķskābe</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kas</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nav</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atbilstoši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specifikācijas</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prasībām</w:t>
            </w:r>
            <w:proofErr w:type="spellEnd"/>
            <w:r w:rsidRPr="00D35355">
              <w:rPr>
                <w:b/>
                <w:i/>
                <w:color w:val="FF0000"/>
                <w:sz w:val="18"/>
                <w:szCs w:val="18"/>
                <w:lang w:val="en-US" w:eastAsia="en-US"/>
              </w:rPr>
              <w:t>.</w:t>
            </w:r>
          </w:p>
          <w:p w14:paraId="592314C6" w14:textId="62FB9442" w:rsidR="00D35355" w:rsidRPr="00D35355" w:rsidRDefault="00D35355" w:rsidP="005F041F">
            <w:pPr>
              <w:rPr>
                <w:b/>
                <w:color w:val="FF0000"/>
                <w:sz w:val="18"/>
                <w:szCs w:val="18"/>
                <w:lang w:val="en-US" w:eastAsia="en-US"/>
              </w:rPr>
            </w:pPr>
          </w:p>
        </w:tc>
      </w:tr>
      <w:tr w:rsidR="00D35355" w:rsidRPr="00D35355" w14:paraId="6E259347" w14:textId="77777777" w:rsidTr="00124BE5">
        <w:trPr>
          <w:trHeight w:val="2400"/>
        </w:trPr>
        <w:tc>
          <w:tcPr>
            <w:tcW w:w="337" w:type="pct"/>
            <w:shd w:val="clear" w:color="000000" w:fill="FFFFFF"/>
            <w:noWrap/>
          </w:tcPr>
          <w:p w14:paraId="790B5619" w14:textId="3E3A13D1" w:rsidR="00D35355" w:rsidRPr="00D35355" w:rsidRDefault="00D35355" w:rsidP="005F041F">
            <w:pPr>
              <w:jc w:val="center"/>
              <w:rPr>
                <w:sz w:val="18"/>
                <w:szCs w:val="18"/>
                <w:lang w:val="en-US" w:eastAsia="en-US"/>
              </w:rPr>
            </w:pPr>
            <w:r w:rsidRPr="00841367">
              <w:rPr>
                <w:sz w:val="18"/>
                <w:szCs w:val="18"/>
                <w:lang w:val="en-US" w:eastAsia="en-US"/>
              </w:rPr>
              <w:t>8</w:t>
            </w:r>
          </w:p>
        </w:tc>
        <w:tc>
          <w:tcPr>
            <w:tcW w:w="746" w:type="pct"/>
            <w:shd w:val="clear" w:color="000000" w:fill="FFFFFF"/>
          </w:tcPr>
          <w:p w14:paraId="42F2EA7A" w14:textId="55170E7E" w:rsidR="00D35355" w:rsidRPr="00D35355" w:rsidRDefault="00D35355" w:rsidP="005F041F">
            <w:pPr>
              <w:jc w:val="center"/>
              <w:rPr>
                <w:sz w:val="18"/>
                <w:szCs w:val="18"/>
                <w:lang w:val="en-US" w:eastAsia="en-US"/>
              </w:rPr>
            </w:pPr>
            <w:proofErr w:type="spellStart"/>
            <w:r w:rsidRPr="00841367">
              <w:rPr>
                <w:sz w:val="18"/>
                <w:szCs w:val="18"/>
                <w:lang w:val="en-US" w:eastAsia="en-US"/>
              </w:rPr>
              <w:t>Profesionāls</w:t>
            </w:r>
            <w:proofErr w:type="spellEnd"/>
            <w:r w:rsidRPr="00841367">
              <w:rPr>
                <w:sz w:val="18"/>
                <w:szCs w:val="18"/>
                <w:lang w:val="en-US" w:eastAsia="en-US"/>
              </w:rPr>
              <w:t xml:space="preserve"> </w:t>
            </w:r>
            <w:proofErr w:type="spellStart"/>
            <w:r w:rsidRPr="00841367">
              <w:rPr>
                <w:sz w:val="18"/>
                <w:szCs w:val="18"/>
                <w:lang w:val="en-US" w:eastAsia="en-US"/>
              </w:rPr>
              <w:t>cauruļu</w:t>
            </w:r>
            <w:proofErr w:type="spellEnd"/>
            <w:r w:rsidRPr="00841367">
              <w:rPr>
                <w:sz w:val="18"/>
                <w:szCs w:val="18"/>
                <w:lang w:val="en-US" w:eastAsia="en-US"/>
              </w:rPr>
              <w:t xml:space="preserve"> </w:t>
            </w:r>
            <w:proofErr w:type="spellStart"/>
            <w:r w:rsidRPr="00841367">
              <w:rPr>
                <w:sz w:val="18"/>
                <w:szCs w:val="18"/>
                <w:lang w:val="en-US" w:eastAsia="en-US"/>
              </w:rPr>
              <w:t>tīrīšanas</w:t>
            </w:r>
            <w:proofErr w:type="spellEnd"/>
            <w:r w:rsidRPr="00841367">
              <w:rPr>
                <w:sz w:val="18"/>
                <w:szCs w:val="18"/>
                <w:lang w:val="en-US" w:eastAsia="en-US"/>
              </w:rPr>
              <w:t xml:space="preserve"> </w:t>
            </w:r>
            <w:proofErr w:type="spellStart"/>
            <w:r w:rsidRPr="00841367">
              <w:rPr>
                <w:sz w:val="18"/>
                <w:szCs w:val="18"/>
                <w:lang w:val="en-US" w:eastAsia="en-US"/>
              </w:rPr>
              <w:t>līdzeklis</w:t>
            </w:r>
            <w:proofErr w:type="spellEnd"/>
          </w:p>
        </w:tc>
        <w:tc>
          <w:tcPr>
            <w:tcW w:w="1815" w:type="pct"/>
            <w:shd w:val="clear" w:color="000000" w:fill="FFFFFF"/>
          </w:tcPr>
          <w:p w14:paraId="7C1A2BA6" w14:textId="7093E23E" w:rsidR="00D35355" w:rsidRPr="00D35355" w:rsidRDefault="00D35355" w:rsidP="005F041F">
            <w:pPr>
              <w:rPr>
                <w:color w:val="000000"/>
                <w:sz w:val="18"/>
                <w:szCs w:val="18"/>
                <w:lang w:val="en-US" w:eastAsia="en-US"/>
              </w:rPr>
            </w:pPr>
            <w:proofErr w:type="spellStart"/>
            <w:r w:rsidRPr="00841367">
              <w:rPr>
                <w:sz w:val="18"/>
                <w:szCs w:val="18"/>
                <w:lang w:val="en-US" w:eastAsia="en-US"/>
              </w:rPr>
              <w:t>Plaši</w:t>
            </w:r>
            <w:proofErr w:type="spellEnd"/>
            <w:r w:rsidRPr="00841367">
              <w:rPr>
                <w:sz w:val="18"/>
                <w:szCs w:val="18"/>
                <w:lang w:val="en-US" w:eastAsia="en-US"/>
              </w:rPr>
              <w:t xml:space="preserve"> </w:t>
            </w:r>
            <w:proofErr w:type="spellStart"/>
            <w:r w:rsidRPr="00841367">
              <w:rPr>
                <w:sz w:val="18"/>
                <w:szCs w:val="18"/>
                <w:lang w:val="en-US" w:eastAsia="en-US"/>
              </w:rPr>
              <w:t>pielietojams</w:t>
            </w:r>
            <w:proofErr w:type="spellEnd"/>
            <w:r w:rsidRPr="00841367">
              <w:rPr>
                <w:sz w:val="18"/>
                <w:szCs w:val="18"/>
                <w:lang w:val="en-US" w:eastAsia="en-US"/>
              </w:rPr>
              <w:t xml:space="preserve"> </w:t>
            </w:r>
            <w:proofErr w:type="spellStart"/>
            <w:r w:rsidRPr="00841367">
              <w:rPr>
                <w:sz w:val="18"/>
                <w:szCs w:val="18"/>
                <w:lang w:val="en-US" w:eastAsia="en-US"/>
              </w:rPr>
              <w:t>līdzeklis</w:t>
            </w:r>
            <w:proofErr w:type="spellEnd"/>
            <w:r w:rsidRPr="00841367">
              <w:rPr>
                <w:sz w:val="18"/>
                <w:szCs w:val="18"/>
                <w:lang w:val="en-US" w:eastAsia="en-US"/>
              </w:rPr>
              <w:t xml:space="preserve"> </w:t>
            </w:r>
            <w:proofErr w:type="spellStart"/>
            <w:r w:rsidRPr="00841367">
              <w:rPr>
                <w:sz w:val="18"/>
                <w:szCs w:val="18"/>
                <w:lang w:val="en-US" w:eastAsia="en-US"/>
              </w:rPr>
              <w:t>organiskā</w:t>
            </w:r>
            <w:proofErr w:type="spellEnd"/>
            <w:r w:rsidRPr="00841367">
              <w:rPr>
                <w:sz w:val="18"/>
                <w:szCs w:val="18"/>
                <w:lang w:val="en-US" w:eastAsia="en-US"/>
              </w:rPr>
              <w:t xml:space="preserve"> </w:t>
            </w:r>
            <w:proofErr w:type="spellStart"/>
            <w:r w:rsidRPr="00841367">
              <w:rPr>
                <w:sz w:val="18"/>
                <w:szCs w:val="18"/>
                <w:lang w:val="en-US" w:eastAsia="en-US"/>
              </w:rPr>
              <w:t>piesārņojuma</w:t>
            </w:r>
            <w:proofErr w:type="spellEnd"/>
            <w:r w:rsidRPr="00841367">
              <w:rPr>
                <w:sz w:val="18"/>
                <w:szCs w:val="18"/>
                <w:lang w:val="en-US" w:eastAsia="en-US"/>
              </w:rPr>
              <w:t xml:space="preserve"> </w:t>
            </w:r>
            <w:proofErr w:type="spellStart"/>
            <w:r w:rsidRPr="00841367">
              <w:rPr>
                <w:sz w:val="18"/>
                <w:szCs w:val="18"/>
                <w:lang w:val="en-US" w:eastAsia="en-US"/>
              </w:rPr>
              <w:t>attīrīšanai</w:t>
            </w:r>
            <w:proofErr w:type="spellEnd"/>
            <w:r w:rsidRPr="00841367">
              <w:rPr>
                <w:sz w:val="18"/>
                <w:szCs w:val="18"/>
                <w:lang w:val="en-US" w:eastAsia="en-US"/>
              </w:rPr>
              <w:t xml:space="preserve"> </w:t>
            </w:r>
            <w:proofErr w:type="spellStart"/>
            <w:r w:rsidRPr="00841367">
              <w:rPr>
                <w:sz w:val="18"/>
                <w:szCs w:val="18"/>
                <w:lang w:val="en-US" w:eastAsia="en-US"/>
              </w:rPr>
              <w:t>caurulēs</w:t>
            </w:r>
            <w:proofErr w:type="spellEnd"/>
            <w:r w:rsidRPr="00841367">
              <w:rPr>
                <w:sz w:val="18"/>
                <w:szCs w:val="18"/>
                <w:lang w:val="en-US" w:eastAsia="en-US"/>
              </w:rPr>
              <w:t xml:space="preserve">. </w:t>
            </w:r>
            <w:proofErr w:type="spellStart"/>
            <w:r w:rsidRPr="00841367">
              <w:rPr>
                <w:sz w:val="18"/>
                <w:szCs w:val="18"/>
                <w:lang w:val="en-US" w:eastAsia="en-US"/>
              </w:rPr>
              <w:t>Piemērots</w:t>
            </w:r>
            <w:proofErr w:type="spellEnd"/>
            <w:r w:rsidRPr="00841367">
              <w:rPr>
                <w:sz w:val="18"/>
                <w:szCs w:val="18"/>
                <w:lang w:val="en-US" w:eastAsia="en-US"/>
              </w:rPr>
              <w:t xml:space="preserve"> visa </w:t>
            </w:r>
            <w:proofErr w:type="spellStart"/>
            <w:r w:rsidRPr="00841367">
              <w:rPr>
                <w:sz w:val="18"/>
                <w:szCs w:val="18"/>
                <w:lang w:val="en-US" w:eastAsia="en-US"/>
              </w:rPr>
              <w:t>veida</w:t>
            </w:r>
            <w:proofErr w:type="spellEnd"/>
            <w:r w:rsidRPr="00841367">
              <w:rPr>
                <w:sz w:val="18"/>
                <w:szCs w:val="18"/>
                <w:lang w:val="en-US" w:eastAsia="en-US"/>
              </w:rPr>
              <w:t xml:space="preserve"> </w:t>
            </w:r>
            <w:proofErr w:type="spellStart"/>
            <w:r w:rsidRPr="00841367">
              <w:rPr>
                <w:sz w:val="18"/>
                <w:szCs w:val="18"/>
                <w:lang w:val="en-US" w:eastAsia="en-US"/>
              </w:rPr>
              <w:t>notekcauruļu</w:t>
            </w:r>
            <w:proofErr w:type="spellEnd"/>
            <w:r w:rsidRPr="00841367">
              <w:rPr>
                <w:sz w:val="18"/>
                <w:szCs w:val="18"/>
                <w:lang w:val="en-US" w:eastAsia="en-US"/>
              </w:rPr>
              <w:t xml:space="preserve"> </w:t>
            </w:r>
            <w:proofErr w:type="spellStart"/>
            <w:r w:rsidRPr="00841367">
              <w:rPr>
                <w:sz w:val="18"/>
                <w:szCs w:val="18"/>
                <w:lang w:val="en-US" w:eastAsia="en-US"/>
              </w:rPr>
              <w:t>tīrīšanai</w:t>
            </w:r>
            <w:proofErr w:type="spellEnd"/>
            <w:r w:rsidRPr="00841367">
              <w:rPr>
                <w:sz w:val="18"/>
                <w:szCs w:val="18"/>
                <w:lang w:val="en-US" w:eastAsia="en-US"/>
              </w:rPr>
              <w:t xml:space="preserve">, </w:t>
            </w:r>
            <w:proofErr w:type="spellStart"/>
            <w:r w:rsidRPr="00841367">
              <w:rPr>
                <w:sz w:val="18"/>
                <w:szCs w:val="18"/>
                <w:lang w:val="en-US" w:eastAsia="en-US"/>
              </w:rPr>
              <w:t>šķīdina</w:t>
            </w:r>
            <w:proofErr w:type="spellEnd"/>
            <w:r w:rsidRPr="00841367">
              <w:rPr>
                <w:sz w:val="18"/>
                <w:szCs w:val="18"/>
                <w:lang w:val="en-US" w:eastAsia="en-US"/>
              </w:rPr>
              <w:t xml:space="preserve"> </w:t>
            </w:r>
            <w:proofErr w:type="spellStart"/>
            <w:r w:rsidRPr="00841367">
              <w:rPr>
                <w:sz w:val="18"/>
                <w:szCs w:val="18"/>
                <w:lang w:val="en-US" w:eastAsia="en-US"/>
              </w:rPr>
              <w:t>taukus</w:t>
            </w:r>
            <w:proofErr w:type="spellEnd"/>
            <w:r w:rsidRPr="00841367">
              <w:rPr>
                <w:sz w:val="18"/>
                <w:szCs w:val="18"/>
                <w:lang w:val="en-US" w:eastAsia="en-US"/>
              </w:rPr>
              <w:t xml:space="preserve">, </w:t>
            </w:r>
            <w:proofErr w:type="spellStart"/>
            <w:r w:rsidRPr="00841367">
              <w:rPr>
                <w:sz w:val="18"/>
                <w:szCs w:val="18"/>
                <w:lang w:val="en-US" w:eastAsia="en-US"/>
              </w:rPr>
              <w:t>matus</w:t>
            </w:r>
            <w:proofErr w:type="spellEnd"/>
            <w:r w:rsidRPr="00841367">
              <w:rPr>
                <w:sz w:val="18"/>
                <w:szCs w:val="18"/>
                <w:lang w:val="en-US" w:eastAsia="en-US"/>
              </w:rPr>
              <w:t xml:space="preserve"> </w:t>
            </w:r>
            <w:proofErr w:type="spellStart"/>
            <w:r w:rsidRPr="00841367">
              <w:rPr>
                <w:sz w:val="18"/>
                <w:szCs w:val="18"/>
                <w:lang w:val="en-US" w:eastAsia="en-US"/>
              </w:rPr>
              <w:t>u.c</w:t>
            </w:r>
            <w:proofErr w:type="spellEnd"/>
            <w:r w:rsidRPr="00841367">
              <w:rPr>
                <w:sz w:val="18"/>
                <w:szCs w:val="18"/>
                <w:lang w:val="en-US" w:eastAsia="en-US"/>
              </w:rPr>
              <w:t xml:space="preserve">. </w:t>
            </w:r>
            <w:proofErr w:type="spellStart"/>
            <w:r w:rsidRPr="00841367">
              <w:rPr>
                <w:sz w:val="18"/>
                <w:szCs w:val="18"/>
                <w:lang w:val="en-US" w:eastAsia="en-US"/>
              </w:rPr>
              <w:t>Līdzekļa</w:t>
            </w:r>
            <w:proofErr w:type="spellEnd"/>
            <w:r w:rsidRPr="00841367">
              <w:rPr>
                <w:sz w:val="18"/>
                <w:szCs w:val="18"/>
                <w:lang w:val="en-US" w:eastAsia="en-US"/>
              </w:rPr>
              <w:t xml:space="preserve"> </w:t>
            </w:r>
            <w:proofErr w:type="spellStart"/>
            <w:r w:rsidRPr="00841367">
              <w:rPr>
                <w:sz w:val="18"/>
                <w:szCs w:val="18"/>
                <w:lang w:val="en-US" w:eastAsia="en-US"/>
              </w:rPr>
              <w:t>sastāvā</w:t>
            </w:r>
            <w:proofErr w:type="spellEnd"/>
            <w:r w:rsidRPr="00841367">
              <w:rPr>
                <w:sz w:val="18"/>
                <w:szCs w:val="18"/>
                <w:lang w:val="en-US" w:eastAsia="en-US"/>
              </w:rPr>
              <w:t xml:space="preserve"> </w:t>
            </w:r>
            <w:proofErr w:type="spellStart"/>
            <w:r w:rsidRPr="00841367">
              <w:rPr>
                <w:sz w:val="18"/>
                <w:szCs w:val="18"/>
                <w:lang w:val="en-US" w:eastAsia="en-US"/>
              </w:rPr>
              <w:t>nātrija</w:t>
            </w:r>
            <w:proofErr w:type="spellEnd"/>
            <w:r w:rsidRPr="00841367">
              <w:rPr>
                <w:sz w:val="18"/>
                <w:szCs w:val="18"/>
                <w:lang w:val="en-US" w:eastAsia="en-US"/>
              </w:rPr>
              <w:t xml:space="preserve"> </w:t>
            </w:r>
            <w:proofErr w:type="spellStart"/>
            <w:r w:rsidRPr="00841367">
              <w:rPr>
                <w:sz w:val="18"/>
                <w:szCs w:val="18"/>
                <w:lang w:val="en-US" w:eastAsia="en-US"/>
              </w:rPr>
              <w:t>hidroksīds</w:t>
            </w:r>
            <w:proofErr w:type="spellEnd"/>
            <w:r w:rsidRPr="00841367">
              <w:rPr>
                <w:sz w:val="18"/>
                <w:szCs w:val="18"/>
                <w:lang w:val="en-US" w:eastAsia="en-US"/>
              </w:rPr>
              <w:t xml:space="preserve">, </w:t>
            </w:r>
            <w:proofErr w:type="spellStart"/>
            <w:r w:rsidRPr="00841367">
              <w:rPr>
                <w:sz w:val="18"/>
                <w:szCs w:val="18"/>
                <w:lang w:val="en-US" w:eastAsia="en-US"/>
              </w:rPr>
              <w:t>virsmaktīvās</w:t>
            </w:r>
            <w:proofErr w:type="spellEnd"/>
            <w:r w:rsidRPr="00841367">
              <w:rPr>
                <w:sz w:val="18"/>
                <w:szCs w:val="18"/>
                <w:lang w:val="en-US" w:eastAsia="en-US"/>
              </w:rPr>
              <w:t xml:space="preserve"> </w:t>
            </w:r>
            <w:proofErr w:type="spellStart"/>
            <w:r w:rsidRPr="00841367">
              <w:rPr>
                <w:sz w:val="18"/>
                <w:szCs w:val="18"/>
                <w:lang w:val="en-US" w:eastAsia="en-US"/>
              </w:rPr>
              <w:t>vielas</w:t>
            </w:r>
            <w:proofErr w:type="spellEnd"/>
            <w:r w:rsidRPr="00841367">
              <w:rPr>
                <w:sz w:val="18"/>
                <w:szCs w:val="18"/>
                <w:lang w:val="en-US" w:eastAsia="en-US"/>
              </w:rPr>
              <w:t xml:space="preserve">, </w:t>
            </w:r>
            <w:proofErr w:type="spellStart"/>
            <w:r w:rsidRPr="00841367">
              <w:rPr>
                <w:sz w:val="18"/>
                <w:szCs w:val="18"/>
                <w:lang w:val="en-US" w:eastAsia="en-US"/>
              </w:rPr>
              <w:t>korozijas</w:t>
            </w:r>
            <w:proofErr w:type="spellEnd"/>
            <w:r w:rsidRPr="00841367">
              <w:rPr>
                <w:sz w:val="18"/>
                <w:szCs w:val="18"/>
                <w:lang w:val="en-US" w:eastAsia="en-US"/>
              </w:rPr>
              <w:t xml:space="preserve"> inhibitors, </w:t>
            </w:r>
            <w:proofErr w:type="spellStart"/>
            <w:r w:rsidRPr="00841367">
              <w:rPr>
                <w:sz w:val="18"/>
                <w:szCs w:val="18"/>
                <w:lang w:val="en-US" w:eastAsia="en-US"/>
              </w:rPr>
              <w:t>šķīdinātājs</w:t>
            </w:r>
            <w:proofErr w:type="spellEnd"/>
            <w:r w:rsidRPr="00841367">
              <w:rPr>
                <w:sz w:val="18"/>
                <w:szCs w:val="18"/>
                <w:lang w:val="en-US" w:eastAsia="en-US"/>
              </w:rPr>
              <w:t xml:space="preserve">. 1 deva - 100 ml. </w:t>
            </w:r>
            <w:proofErr w:type="spellStart"/>
            <w:r w:rsidRPr="00841367">
              <w:rPr>
                <w:color w:val="000000"/>
                <w:sz w:val="18"/>
                <w:szCs w:val="18"/>
                <w:lang w:val="en-US" w:eastAsia="en-US"/>
              </w:rPr>
              <w:t>Iepakojums</w:t>
            </w:r>
            <w:proofErr w:type="spellEnd"/>
            <w:r w:rsidRPr="00841367">
              <w:rPr>
                <w:color w:val="000000"/>
                <w:sz w:val="18"/>
                <w:szCs w:val="18"/>
                <w:lang w:val="en-US" w:eastAsia="en-US"/>
              </w:rPr>
              <w:t xml:space="preserve"> 0.5-1L</w:t>
            </w:r>
            <w:r w:rsidRPr="00841367">
              <w:rPr>
                <w:sz w:val="18"/>
                <w:szCs w:val="18"/>
                <w:lang w:val="en-US" w:eastAsia="en-US"/>
              </w:rPr>
              <w:t xml:space="preserve">. pH </w:t>
            </w:r>
            <w:proofErr w:type="spellStart"/>
            <w:r w:rsidRPr="00841367">
              <w:rPr>
                <w:sz w:val="18"/>
                <w:szCs w:val="18"/>
                <w:lang w:val="en-US" w:eastAsia="en-US"/>
              </w:rPr>
              <w:t>koncentrātam</w:t>
            </w:r>
            <w:proofErr w:type="spellEnd"/>
            <w:r w:rsidRPr="00841367">
              <w:rPr>
                <w:sz w:val="18"/>
                <w:szCs w:val="18"/>
                <w:lang w:val="en-US" w:eastAsia="en-US"/>
              </w:rPr>
              <w:t xml:space="preserve"> 12-14.</w:t>
            </w:r>
          </w:p>
        </w:tc>
        <w:tc>
          <w:tcPr>
            <w:tcW w:w="2102" w:type="pct"/>
            <w:shd w:val="clear" w:color="000000" w:fill="FFFFFF"/>
          </w:tcPr>
          <w:p w14:paraId="09FE9B2E" w14:textId="77777777" w:rsidR="00D35355" w:rsidRPr="00D35355" w:rsidRDefault="00D35355" w:rsidP="005F041F">
            <w:pPr>
              <w:rPr>
                <w:sz w:val="18"/>
                <w:szCs w:val="18"/>
                <w:lang w:val="en-US" w:eastAsia="en-US"/>
              </w:rPr>
            </w:pPr>
            <w:proofErr w:type="spellStart"/>
            <w:r w:rsidRPr="00D35355">
              <w:rPr>
                <w:sz w:val="18"/>
                <w:szCs w:val="18"/>
                <w:lang w:val="en-US" w:eastAsia="en-US"/>
              </w:rPr>
              <w:t>Plaši</w:t>
            </w:r>
            <w:proofErr w:type="spellEnd"/>
            <w:r w:rsidRPr="00D35355">
              <w:rPr>
                <w:sz w:val="18"/>
                <w:szCs w:val="18"/>
                <w:lang w:val="en-US" w:eastAsia="en-US"/>
              </w:rPr>
              <w:t xml:space="preserve"> </w:t>
            </w:r>
            <w:proofErr w:type="spellStart"/>
            <w:r w:rsidRPr="00D35355">
              <w:rPr>
                <w:sz w:val="18"/>
                <w:szCs w:val="18"/>
                <w:lang w:val="en-US" w:eastAsia="en-US"/>
              </w:rPr>
              <w:t>pielietojams</w:t>
            </w:r>
            <w:proofErr w:type="spellEnd"/>
            <w:r w:rsidRPr="00D35355">
              <w:rPr>
                <w:sz w:val="18"/>
                <w:szCs w:val="18"/>
                <w:lang w:val="en-US" w:eastAsia="en-US"/>
              </w:rPr>
              <w:t xml:space="preserve"> </w:t>
            </w:r>
            <w:proofErr w:type="spellStart"/>
            <w:r w:rsidRPr="00D35355">
              <w:rPr>
                <w:sz w:val="18"/>
                <w:szCs w:val="18"/>
                <w:lang w:val="en-US" w:eastAsia="en-US"/>
              </w:rPr>
              <w:t>līdzeklis</w:t>
            </w:r>
            <w:proofErr w:type="spellEnd"/>
            <w:r w:rsidRPr="00D35355">
              <w:rPr>
                <w:sz w:val="18"/>
                <w:szCs w:val="18"/>
                <w:lang w:val="en-US" w:eastAsia="en-US"/>
              </w:rPr>
              <w:t xml:space="preserve"> </w:t>
            </w:r>
            <w:proofErr w:type="spellStart"/>
            <w:r w:rsidRPr="00D35355">
              <w:rPr>
                <w:sz w:val="18"/>
                <w:szCs w:val="18"/>
                <w:lang w:val="en-US" w:eastAsia="en-US"/>
              </w:rPr>
              <w:t>organiskā</w:t>
            </w:r>
            <w:proofErr w:type="spellEnd"/>
            <w:r w:rsidRPr="00D35355">
              <w:rPr>
                <w:sz w:val="18"/>
                <w:szCs w:val="18"/>
                <w:lang w:val="en-US" w:eastAsia="en-US"/>
              </w:rPr>
              <w:t xml:space="preserve"> </w:t>
            </w:r>
            <w:proofErr w:type="spellStart"/>
            <w:r w:rsidRPr="00D35355">
              <w:rPr>
                <w:sz w:val="18"/>
                <w:szCs w:val="18"/>
                <w:lang w:val="en-US" w:eastAsia="en-US"/>
              </w:rPr>
              <w:t>piesārņojuma</w:t>
            </w:r>
            <w:proofErr w:type="spellEnd"/>
            <w:r w:rsidRPr="00D35355">
              <w:rPr>
                <w:sz w:val="18"/>
                <w:szCs w:val="18"/>
                <w:lang w:val="en-US" w:eastAsia="en-US"/>
              </w:rPr>
              <w:t xml:space="preserve"> </w:t>
            </w:r>
            <w:proofErr w:type="spellStart"/>
            <w:r w:rsidRPr="00D35355">
              <w:rPr>
                <w:sz w:val="18"/>
                <w:szCs w:val="18"/>
                <w:lang w:val="en-US" w:eastAsia="en-US"/>
              </w:rPr>
              <w:t>attīrīšanai</w:t>
            </w:r>
            <w:proofErr w:type="spellEnd"/>
            <w:r w:rsidRPr="00D35355">
              <w:rPr>
                <w:sz w:val="18"/>
                <w:szCs w:val="18"/>
                <w:lang w:val="en-US" w:eastAsia="en-US"/>
              </w:rPr>
              <w:t xml:space="preserve"> </w:t>
            </w:r>
            <w:proofErr w:type="spellStart"/>
            <w:r w:rsidRPr="00D35355">
              <w:rPr>
                <w:sz w:val="18"/>
                <w:szCs w:val="18"/>
                <w:lang w:val="en-US" w:eastAsia="en-US"/>
              </w:rPr>
              <w:t>caurulēs</w:t>
            </w:r>
            <w:proofErr w:type="spellEnd"/>
            <w:r w:rsidRPr="00D35355">
              <w:rPr>
                <w:sz w:val="18"/>
                <w:szCs w:val="18"/>
                <w:lang w:val="en-US" w:eastAsia="en-US"/>
              </w:rPr>
              <w:t xml:space="preserve">. </w:t>
            </w:r>
            <w:proofErr w:type="spellStart"/>
            <w:r w:rsidRPr="00D35355">
              <w:rPr>
                <w:sz w:val="18"/>
                <w:szCs w:val="18"/>
                <w:lang w:val="en-US" w:eastAsia="en-US"/>
              </w:rPr>
              <w:t>Piemērots</w:t>
            </w:r>
            <w:proofErr w:type="spellEnd"/>
            <w:r w:rsidRPr="00D35355">
              <w:rPr>
                <w:sz w:val="18"/>
                <w:szCs w:val="18"/>
                <w:lang w:val="en-US" w:eastAsia="en-US"/>
              </w:rPr>
              <w:t xml:space="preserve"> visa </w:t>
            </w:r>
            <w:proofErr w:type="spellStart"/>
            <w:r w:rsidRPr="00D35355">
              <w:rPr>
                <w:sz w:val="18"/>
                <w:szCs w:val="18"/>
                <w:lang w:val="en-US" w:eastAsia="en-US"/>
              </w:rPr>
              <w:t>veida</w:t>
            </w:r>
            <w:proofErr w:type="spellEnd"/>
            <w:r w:rsidRPr="00D35355">
              <w:rPr>
                <w:sz w:val="18"/>
                <w:szCs w:val="18"/>
                <w:lang w:val="en-US" w:eastAsia="en-US"/>
              </w:rPr>
              <w:t xml:space="preserve"> </w:t>
            </w:r>
            <w:proofErr w:type="spellStart"/>
            <w:r w:rsidRPr="00D35355">
              <w:rPr>
                <w:sz w:val="18"/>
                <w:szCs w:val="18"/>
                <w:lang w:val="en-US" w:eastAsia="en-US"/>
              </w:rPr>
              <w:t>notekcauruļu</w:t>
            </w:r>
            <w:proofErr w:type="spellEnd"/>
            <w:r w:rsidRPr="00D35355">
              <w:rPr>
                <w:sz w:val="18"/>
                <w:szCs w:val="18"/>
                <w:lang w:val="en-US" w:eastAsia="en-US"/>
              </w:rPr>
              <w:t xml:space="preserve"> </w:t>
            </w:r>
            <w:proofErr w:type="spellStart"/>
            <w:r w:rsidRPr="00D35355">
              <w:rPr>
                <w:sz w:val="18"/>
                <w:szCs w:val="18"/>
                <w:lang w:val="en-US" w:eastAsia="en-US"/>
              </w:rPr>
              <w:t>tīrīšanai</w:t>
            </w:r>
            <w:proofErr w:type="spellEnd"/>
            <w:r w:rsidRPr="00D35355">
              <w:rPr>
                <w:sz w:val="18"/>
                <w:szCs w:val="18"/>
                <w:lang w:val="en-US" w:eastAsia="en-US"/>
              </w:rPr>
              <w:t xml:space="preserve">, </w:t>
            </w:r>
            <w:proofErr w:type="spellStart"/>
            <w:r w:rsidRPr="00D35355">
              <w:rPr>
                <w:sz w:val="18"/>
                <w:szCs w:val="18"/>
                <w:lang w:val="en-US" w:eastAsia="en-US"/>
              </w:rPr>
              <w:t>šķīdina</w:t>
            </w:r>
            <w:proofErr w:type="spellEnd"/>
            <w:r w:rsidRPr="00D35355">
              <w:rPr>
                <w:sz w:val="18"/>
                <w:szCs w:val="18"/>
                <w:lang w:val="en-US" w:eastAsia="en-US"/>
              </w:rPr>
              <w:t xml:space="preserve"> </w:t>
            </w:r>
            <w:proofErr w:type="spellStart"/>
            <w:r w:rsidRPr="00D35355">
              <w:rPr>
                <w:sz w:val="18"/>
                <w:szCs w:val="18"/>
                <w:lang w:val="en-US" w:eastAsia="en-US"/>
              </w:rPr>
              <w:t>taukus</w:t>
            </w:r>
            <w:proofErr w:type="spellEnd"/>
            <w:r w:rsidRPr="00D35355">
              <w:rPr>
                <w:sz w:val="18"/>
                <w:szCs w:val="18"/>
                <w:lang w:val="en-US" w:eastAsia="en-US"/>
              </w:rPr>
              <w:t xml:space="preserve">, </w:t>
            </w:r>
            <w:proofErr w:type="spellStart"/>
            <w:r w:rsidRPr="00D35355">
              <w:rPr>
                <w:sz w:val="18"/>
                <w:szCs w:val="18"/>
                <w:lang w:val="en-US" w:eastAsia="en-US"/>
              </w:rPr>
              <w:t>matus</w:t>
            </w:r>
            <w:proofErr w:type="spellEnd"/>
            <w:r w:rsidRPr="00D35355">
              <w:rPr>
                <w:sz w:val="18"/>
                <w:szCs w:val="18"/>
                <w:lang w:val="en-US" w:eastAsia="en-US"/>
              </w:rPr>
              <w:t xml:space="preserve"> </w:t>
            </w:r>
            <w:proofErr w:type="spellStart"/>
            <w:r w:rsidRPr="00D35355">
              <w:rPr>
                <w:sz w:val="18"/>
                <w:szCs w:val="18"/>
                <w:lang w:val="en-US" w:eastAsia="en-US"/>
              </w:rPr>
              <w:t>u.c</w:t>
            </w:r>
            <w:proofErr w:type="spellEnd"/>
            <w:r w:rsidRPr="00D35355">
              <w:rPr>
                <w:sz w:val="18"/>
                <w:szCs w:val="18"/>
                <w:lang w:val="en-US" w:eastAsia="en-US"/>
              </w:rPr>
              <w:t xml:space="preserve">. </w:t>
            </w:r>
            <w:proofErr w:type="spellStart"/>
            <w:r w:rsidRPr="00D35355">
              <w:rPr>
                <w:sz w:val="18"/>
                <w:szCs w:val="18"/>
                <w:lang w:val="en-US" w:eastAsia="en-US"/>
              </w:rPr>
              <w:t>Līdzekļa</w:t>
            </w:r>
            <w:proofErr w:type="spellEnd"/>
            <w:r w:rsidRPr="00D35355">
              <w:rPr>
                <w:sz w:val="18"/>
                <w:szCs w:val="18"/>
                <w:lang w:val="en-US" w:eastAsia="en-US"/>
              </w:rPr>
              <w:t xml:space="preserve"> </w:t>
            </w:r>
            <w:proofErr w:type="spellStart"/>
            <w:r w:rsidRPr="00D35355">
              <w:rPr>
                <w:sz w:val="18"/>
                <w:szCs w:val="18"/>
                <w:lang w:val="en-US" w:eastAsia="en-US"/>
              </w:rPr>
              <w:t>sastāvā</w:t>
            </w:r>
            <w:proofErr w:type="spellEnd"/>
            <w:r w:rsidRPr="00D35355">
              <w:rPr>
                <w:sz w:val="18"/>
                <w:szCs w:val="18"/>
                <w:lang w:val="en-US" w:eastAsia="en-US"/>
              </w:rPr>
              <w:t xml:space="preserve">: </w:t>
            </w:r>
            <w:proofErr w:type="spellStart"/>
            <w:r w:rsidRPr="00D35355">
              <w:rPr>
                <w:sz w:val="18"/>
                <w:szCs w:val="18"/>
                <w:lang w:val="en-US" w:eastAsia="en-US"/>
              </w:rPr>
              <w:t>nātrija</w:t>
            </w:r>
            <w:proofErr w:type="spellEnd"/>
            <w:r w:rsidRPr="00D35355">
              <w:rPr>
                <w:sz w:val="18"/>
                <w:szCs w:val="18"/>
                <w:lang w:val="en-US" w:eastAsia="en-US"/>
              </w:rPr>
              <w:t xml:space="preserve"> </w:t>
            </w:r>
            <w:proofErr w:type="spellStart"/>
            <w:r w:rsidRPr="00D35355">
              <w:rPr>
                <w:sz w:val="18"/>
                <w:szCs w:val="18"/>
                <w:lang w:val="en-US" w:eastAsia="en-US"/>
              </w:rPr>
              <w:t>hidroksīds</w:t>
            </w:r>
            <w:proofErr w:type="spellEnd"/>
            <w:r w:rsidRPr="00D35355">
              <w:rPr>
                <w:sz w:val="18"/>
                <w:szCs w:val="18"/>
                <w:lang w:val="en-US" w:eastAsia="en-US"/>
              </w:rPr>
              <w:t xml:space="preserve">, </w:t>
            </w:r>
            <w:proofErr w:type="spellStart"/>
            <w:r w:rsidRPr="00D35355">
              <w:rPr>
                <w:sz w:val="18"/>
                <w:szCs w:val="18"/>
                <w:lang w:val="en-US" w:eastAsia="en-US"/>
              </w:rPr>
              <w:t>balinātāji</w:t>
            </w:r>
            <w:proofErr w:type="spellEnd"/>
            <w:r w:rsidRPr="00D35355">
              <w:rPr>
                <w:sz w:val="18"/>
                <w:szCs w:val="18"/>
                <w:lang w:val="en-US" w:eastAsia="en-US"/>
              </w:rPr>
              <w:t xml:space="preserve"> </w:t>
            </w:r>
            <w:proofErr w:type="spellStart"/>
            <w:r w:rsidRPr="00D35355">
              <w:rPr>
                <w:sz w:val="18"/>
                <w:szCs w:val="18"/>
                <w:lang w:val="en-US" w:eastAsia="en-US"/>
              </w:rPr>
              <w:t>uz</w:t>
            </w:r>
            <w:proofErr w:type="spellEnd"/>
            <w:r w:rsidRPr="00D35355">
              <w:rPr>
                <w:sz w:val="18"/>
                <w:szCs w:val="18"/>
                <w:lang w:val="en-US" w:eastAsia="en-US"/>
              </w:rPr>
              <w:t xml:space="preserve"> </w:t>
            </w:r>
            <w:proofErr w:type="spellStart"/>
            <w:r w:rsidRPr="00D35355">
              <w:rPr>
                <w:sz w:val="18"/>
                <w:szCs w:val="18"/>
                <w:lang w:val="en-US" w:eastAsia="en-US"/>
              </w:rPr>
              <w:t>hlora</w:t>
            </w:r>
            <w:proofErr w:type="spellEnd"/>
            <w:r w:rsidRPr="00D35355">
              <w:rPr>
                <w:sz w:val="18"/>
                <w:szCs w:val="18"/>
                <w:lang w:val="en-US" w:eastAsia="en-US"/>
              </w:rPr>
              <w:t xml:space="preserve"> </w:t>
            </w:r>
            <w:proofErr w:type="spellStart"/>
            <w:r w:rsidRPr="00D35355">
              <w:rPr>
                <w:sz w:val="18"/>
                <w:szCs w:val="18"/>
                <w:lang w:val="en-US" w:eastAsia="en-US"/>
              </w:rPr>
              <w:t>bāzes</w:t>
            </w:r>
            <w:proofErr w:type="spellEnd"/>
            <w:r w:rsidRPr="00D35355">
              <w:rPr>
                <w:sz w:val="18"/>
                <w:szCs w:val="18"/>
                <w:lang w:val="en-US" w:eastAsia="en-US"/>
              </w:rPr>
              <w:t xml:space="preserve"> &lt; 5%, </w:t>
            </w:r>
            <w:proofErr w:type="spellStart"/>
            <w:r w:rsidRPr="00D35355">
              <w:rPr>
                <w:sz w:val="18"/>
                <w:szCs w:val="18"/>
                <w:lang w:val="en-US" w:eastAsia="en-US"/>
              </w:rPr>
              <w:t>anjonu</w:t>
            </w:r>
            <w:proofErr w:type="spellEnd"/>
            <w:r w:rsidRPr="00D35355">
              <w:rPr>
                <w:sz w:val="18"/>
                <w:szCs w:val="18"/>
                <w:lang w:val="en-US" w:eastAsia="en-US"/>
              </w:rPr>
              <w:t xml:space="preserve"> </w:t>
            </w:r>
            <w:proofErr w:type="spellStart"/>
            <w:r w:rsidRPr="00D35355">
              <w:rPr>
                <w:sz w:val="18"/>
                <w:szCs w:val="18"/>
                <w:lang w:val="en-US" w:eastAsia="en-US"/>
              </w:rPr>
              <w:t>virsmaktīvās</w:t>
            </w:r>
            <w:proofErr w:type="spellEnd"/>
            <w:r w:rsidRPr="00D35355">
              <w:rPr>
                <w:sz w:val="18"/>
                <w:szCs w:val="18"/>
                <w:lang w:val="en-US" w:eastAsia="en-US"/>
              </w:rPr>
              <w:t xml:space="preserve"> </w:t>
            </w:r>
            <w:proofErr w:type="spellStart"/>
            <w:r w:rsidRPr="00D35355">
              <w:rPr>
                <w:sz w:val="18"/>
                <w:szCs w:val="18"/>
                <w:lang w:val="en-US" w:eastAsia="en-US"/>
              </w:rPr>
              <w:t>vielas</w:t>
            </w:r>
            <w:proofErr w:type="spellEnd"/>
            <w:r w:rsidRPr="00D35355">
              <w:rPr>
                <w:sz w:val="18"/>
                <w:szCs w:val="18"/>
                <w:lang w:val="en-US" w:eastAsia="en-US"/>
              </w:rPr>
              <w:t xml:space="preserve"> 5%. </w:t>
            </w:r>
            <w:proofErr w:type="spellStart"/>
            <w:r w:rsidRPr="00D35355">
              <w:rPr>
                <w:sz w:val="18"/>
                <w:szCs w:val="18"/>
                <w:lang w:val="en-US" w:eastAsia="en-US"/>
              </w:rPr>
              <w:t>Koncentrāta</w:t>
            </w:r>
            <w:proofErr w:type="spellEnd"/>
            <w:r w:rsidRPr="00D35355">
              <w:rPr>
                <w:sz w:val="18"/>
                <w:szCs w:val="18"/>
                <w:lang w:val="en-US" w:eastAsia="en-US"/>
              </w:rPr>
              <w:t xml:space="preserve"> pH ~12.5. 1 deva - 100 ml. </w:t>
            </w:r>
            <w:proofErr w:type="spellStart"/>
            <w:r w:rsidRPr="00D35355">
              <w:rPr>
                <w:sz w:val="18"/>
                <w:szCs w:val="18"/>
                <w:lang w:val="en-US" w:eastAsia="en-US"/>
              </w:rPr>
              <w:t>Iepakojums</w:t>
            </w:r>
            <w:proofErr w:type="spellEnd"/>
            <w:r w:rsidRPr="00D35355">
              <w:rPr>
                <w:sz w:val="18"/>
                <w:szCs w:val="18"/>
                <w:lang w:val="en-US" w:eastAsia="en-US"/>
              </w:rPr>
              <w:t xml:space="preserve">: 1L. </w:t>
            </w:r>
          </w:p>
          <w:p w14:paraId="13097DA3" w14:textId="4F87F6DE" w:rsidR="00D35355" w:rsidRPr="00D35355" w:rsidRDefault="00D35355" w:rsidP="005F041F">
            <w:pPr>
              <w:rPr>
                <w:color w:val="000000"/>
                <w:sz w:val="18"/>
                <w:szCs w:val="18"/>
                <w:lang w:val="en-US" w:eastAsia="en-US"/>
              </w:rPr>
            </w:pPr>
            <w:r w:rsidRPr="00D35355">
              <w:rPr>
                <w:b/>
                <w:i/>
                <w:color w:val="FF0000"/>
                <w:sz w:val="18"/>
                <w:szCs w:val="18"/>
                <w:lang w:val="en-US" w:eastAsia="en-US"/>
              </w:rPr>
              <w:t xml:space="preserve">NEATBILST, jo </w:t>
            </w:r>
            <w:proofErr w:type="spellStart"/>
            <w:r w:rsidRPr="00D35355">
              <w:rPr>
                <w:b/>
                <w:i/>
                <w:color w:val="FF0000"/>
                <w:sz w:val="18"/>
                <w:szCs w:val="18"/>
                <w:lang w:val="en-US" w:eastAsia="en-US"/>
              </w:rPr>
              <w:t>sastāvā</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ražotāja</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informācija</w:t>
            </w:r>
            <w:proofErr w:type="spellEnd"/>
            <w:r w:rsidR="003111A0">
              <w:rPr>
                <w:b/>
                <w:i/>
                <w:color w:val="FF0000"/>
                <w:sz w:val="18"/>
                <w:szCs w:val="18"/>
                <w:lang w:val="en-US" w:eastAsia="en-US"/>
              </w:rPr>
              <w:t xml:space="preserve"> </w:t>
            </w:r>
            <w:proofErr w:type="spellStart"/>
            <w:r>
              <w:rPr>
                <w:b/>
                <w:i/>
                <w:color w:val="FF0000"/>
                <w:sz w:val="18"/>
                <w:szCs w:val="18"/>
                <w:lang w:val="en-US" w:eastAsia="en-US"/>
              </w:rPr>
              <w:t>piedāvājuma</w:t>
            </w:r>
            <w:proofErr w:type="spellEnd"/>
            <w:r w:rsidRPr="00D35355">
              <w:rPr>
                <w:b/>
                <w:i/>
                <w:color w:val="FF0000"/>
                <w:sz w:val="18"/>
                <w:szCs w:val="18"/>
                <w:lang w:val="en-US" w:eastAsia="en-US"/>
              </w:rPr>
              <w:t xml:space="preserve"> 16 </w:t>
            </w:r>
            <w:proofErr w:type="spellStart"/>
            <w:r w:rsidRPr="00D35355">
              <w:rPr>
                <w:b/>
                <w:i/>
                <w:color w:val="FF0000"/>
                <w:sz w:val="18"/>
                <w:szCs w:val="18"/>
                <w:lang w:val="en-US" w:eastAsia="en-US"/>
              </w:rPr>
              <w:t>lpp</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nav</w:t>
            </w:r>
            <w:proofErr w:type="spellEnd"/>
            <w:r w:rsidRPr="00D35355">
              <w:rPr>
                <w:b/>
                <w:i/>
                <w:color w:val="FF0000"/>
                <w:sz w:val="18"/>
                <w:szCs w:val="18"/>
                <w:lang w:val="en-US" w:eastAsia="en-US"/>
              </w:rPr>
              <w:t xml:space="preserve"> </w:t>
            </w:r>
            <w:proofErr w:type="spellStart"/>
            <w:r>
              <w:rPr>
                <w:b/>
                <w:i/>
                <w:color w:val="FF0000"/>
                <w:sz w:val="18"/>
                <w:szCs w:val="18"/>
                <w:lang w:val="en-US" w:eastAsia="en-US"/>
              </w:rPr>
              <w:t>korozijas</w:t>
            </w:r>
            <w:proofErr w:type="spellEnd"/>
            <w:r>
              <w:rPr>
                <w:b/>
                <w:i/>
                <w:color w:val="FF0000"/>
                <w:sz w:val="18"/>
                <w:szCs w:val="18"/>
                <w:lang w:val="en-US" w:eastAsia="en-US"/>
              </w:rPr>
              <w:t xml:space="preserve"> </w:t>
            </w:r>
            <w:proofErr w:type="spellStart"/>
            <w:r>
              <w:rPr>
                <w:b/>
                <w:i/>
                <w:color w:val="FF0000"/>
                <w:sz w:val="18"/>
                <w:szCs w:val="18"/>
                <w:lang w:val="en-US" w:eastAsia="en-US"/>
              </w:rPr>
              <w:t>inhibitori</w:t>
            </w:r>
            <w:proofErr w:type="spellEnd"/>
            <w:r>
              <w:rPr>
                <w:b/>
                <w:i/>
                <w:color w:val="FF0000"/>
                <w:sz w:val="18"/>
                <w:szCs w:val="18"/>
                <w:lang w:val="en-US" w:eastAsia="en-US"/>
              </w:rPr>
              <w:t xml:space="preserve">, </w:t>
            </w:r>
            <w:proofErr w:type="spellStart"/>
            <w:r>
              <w:rPr>
                <w:b/>
                <w:i/>
                <w:color w:val="FF0000"/>
                <w:sz w:val="18"/>
                <w:szCs w:val="18"/>
                <w:lang w:val="en-US" w:eastAsia="en-US"/>
              </w:rPr>
              <w:t>kas</w:t>
            </w:r>
            <w:proofErr w:type="spellEnd"/>
            <w:r>
              <w:rPr>
                <w:b/>
                <w:i/>
                <w:color w:val="FF0000"/>
                <w:sz w:val="18"/>
                <w:szCs w:val="18"/>
                <w:lang w:val="en-US" w:eastAsia="en-US"/>
              </w:rPr>
              <w:t xml:space="preserve"> </w:t>
            </w:r>
            <w:proofErr w:type="spellStart"/>
            <w:r>
              <w:rPr>
                <w:b/>
                <w:i/>
                <w:color w:val="FF0000"/>
                <w:sz w:val="18"/>
                <w:szCs w:val="18"/>
                <w:lang w:val="en-US" w:eastAsia="en-US"/>
              </w:rPr>
              <w:t>slimnī</w:t>
            </w:r>
            <w:r w:rsidRPr="00D35355">
              <w:rPr>
                <w:b/>
                <w:i/>
                <w:color w:val="FF0000"/>
                <w:sz w:val="18"/>
                <w:szCs w:val="18"/>
                <w:lang w:val="en-US" w:eastAsia="en-US"/>
              </w:rPr>
              <w:t>ca</w:t>
            </w:r>
            <w:r>
              <w:rPr>
                <w:b/>
                <w:i/>
                <w:color w:val="FF0000"/>
                <w:sz w:val="18"/>
                <w:szCs w:val="18"/>
                <w:lang w:val="en-US" w:eastAsia="en-US"/>
              </w:rPr>
              <w:t>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ir</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ļoti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svarīgi</w:t>
            </w:r>
            <w:proofErr w:type="spellEnd"/>
            <w:r w:rsidRPr="00D35355">
              <w:rPr>
                <w:b/>
                <w:i/>
                <w:color w:val="FF0000"/>
                <w:sz w:val="18"/>
                <w:szCs w:val="18"/>
                <w:lang w:val="en-US" w:eastAsia="en-US"/>
              </w:rPr>
              <w:t xml:space="preserve">, jo </w:t>
            </w:r>
            <w:proofErr w:type="spellStart"/>
            <w:r w:rsidRPr="00D35355">
              <w:rPr>
                <w:b/>
                <w:i/>
                <w:color w:val="FF0000"/>
                <w:sz w:val="18"/>
                <w:szCs w:val="18"/>
                <w:lang w:val="en-US" w:eastAsia="en-US"/>
              </w:rPr>
              <w:t>ši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līdzekļi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tiek</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izmantoti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regulāri</w:t>
            </w:r>
            <w:proofErr w:type="spellEnd"/>
            <w:r w:rsidRPr="00D35355">
              <w:rPr>
                <w:b/>
                <w:i/>
                <w:color w:val="FF0000"/>
                <w:sz w:val="18"/>
                <w:szCs w:val="18"/>
                <w:lang w:val="en-US" w:eastAsia="en-US"/>
              </w:rPr>
              <w:t xml:space="preserve"> un </w:t>
            </w:r>
            <w:proofErr w:type="spellStart"/>
            <w:r w:rsidRPr="00D35355">
              <w:rPr>
                <w:b/>
                <w:i/>
                <w:color w:val="FF0000"/>
                <w:sz w:val="18"/>
                <w:szCs w:val="18"/>
                <w:lang w:val="en-US" w:eastAsia="en-US"/>
              </w:rPr>
              <w:t>ir</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svarīgi</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lai</w:t>
            </w:r>
            <w:proofErr w:type="spellEnd"/>
            <w:r w:rsidRPr="00D35355">
              <w:rPr>
                <w:b/>
                <w:i/>
                <w:color w:val="FF0000"/>
                <w:sz w:val="18"/>
                <w:szCs w:val="18"/>
                <w:lang w:val="en-US" w:eastAsia="en-US"/>
              </w:rPr>
              <w:t xml:space="preserve"> tie </w:t>
            </w:r>
            <w:proofErr w:type="spellStart"/>
            <w:r w:rsidRPr="00D35355">
              <w:rPr>
                <w:b/>
                <w:i/>
                <w:color w:val="FF0000"/>
                <w:sz w:val="18"/>
                <w:szCs w:val="18"/>
                <w:lang w:val="en-US" w:eastAsia="en-US"/>
              </w:rPr>
              <w:t>arī</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pasargā</w:t>
            </w:r>
            <w:proofErr w:type="spellEnd"/>
            <w:r w:rsidRPr="00D35355">
              <w:rPr>
                <w:b/>
                <w:i/>
                <w:color w:val="FF0000"/>
                <w:sz w:val="18"/>
                <w:szCs w:val="18"/>
                <w:lang w:val="en-US" w:eastAsia="en-US"/>
              </w:rPr>
              <w:t xml:space="preserve"> </w:t>
            </w:r>
            <w:proofErr w:type="spellStart"/>
            <w:r w:rsidRPr="00D35355">
              <w:rPr>
                <w:b/>
                <w:i/>
                <w:color w:val="FF0000"/>
                <w:sz w:val="18"/>
                <w:szCs w:val="18"/>
                <w:lang w:val="en-US" w:eastAsia="en-US"/>
              </w:rPr>
              <w:t>caurules</w:t>
            </w:r>
            <w:proofErr w:type="spellEnd"/>
            <w:r w:rsidRPr="00D35355">
              <w:rPr>
                <w:b/>
                <w:i/>
                <w:color w:val="FF0000"/>
                <w:sz w:val="18"/>
                <w:szCs w:val="18"/>
                <w:lang w:val="en-US" w:eastAsia="en-US"/>
              </w:rPr>
              <w:t xml:space="preserve"> no </w:t>
            </w:r>
            <w:proofErr w:type="spellStart"/>
            <w:r w:rsidRPr="00D35355">
              <w:rPr>
                <w:b/>
                <w:i/>
                <w:color w:val="FF0000"/>
                <w:sz w:val="18"/>
                <w:szCs w:val="18"/>
                <w:lang w:val="en-US" w:eastAsia="en-US"/>
              </w:rPr>
              <w:t>korozijas</w:t>
            </w:r>
            <w:proofErr w:type="spellEnd"/>
            <w:r w:rsidRPr="00D35355">
              <w:rPr>
                <w:b/>
                <w:i/>
                <w:color w:val="FF0000"/>
                <w:sz w:val="18"/>
                <w:szCs w:val="18"/>
                <w:lang w:val="en-US" w:eastAsia="en-US"/>
              </w:rPr>
              <w:t>.</w:t>
            </w:r>
          </w:p>
        </w:tc>
      </w:tr>
    </w:tbl>
    <w:p w14:paraId="1F7BE558" w14:textId="77777777" w:rsidR="00D35355" w:rsidRPr="00124BE5" w:rsidRDefault="00D35355" w:rsidP="005F041F">
      <w:pPr>
        <w:jc w:val="both"/>
        <w:rPr>
          <w:rFonts w:asciiTheme="minorHAnsi" w:hAnsiTheme="minorHAnsi" w:cstheme="minorHAnsi"/>
          <w:b/>
          <w:sz w:val="22"/>
          <w:szCs w:val="22"/>
          <w:u w:val="single"/>
          <w:lang w:val="en-US" w:eastAsia="ar-SA"/>
        </w:rPr>
      </w:pPr>
    </w:p>
    <w:p w14:paraId="70099FDA" w14:textId="2D6873A2" w:rsidR="00AB63ED" w:rsidRDefault="00AB63ED" w:rsidP="005F041F">
      <w:pPr>
        <w:pStyle w:val="ListParagraph"/>
        <w:numPr>
          <w:ilvl w:val="0"/>
          <w:numId w:val="14"/>
        </w:numPr>
        <w:jc w:val="both"/>
        <w:rPr>
          <w:rFonts w:asciiTheme="minorHAnsi" w:hAnsiTheme="minorHAnsi" w:cstheme="minorHAnsi"/>
          <w:b/>
          <w:sz w:val="22"/>
          <w:szCs w:val="22"/>
          <w:u w:val="single"/>
          <w:lang w:val="en-US" w:eastAsia="ar-SA"/>
        </w:rPr>
      </w:pPr>
      <w:r w:rsidRPr="00124BE5">
        <w:rPr>
          <w:rFonts w:asciiTheme="minorHAnsi" w:hAnsiTheme="minorHAnsi" w:cstheme="minorHAnsi"/>
          <w:b/>
          <w:sz w:val="22"/>
          <w:szCs w:val="22"/>
          <w:u w:val="single"/>
          <w:lang w:val="en-US" w:eastAsia="ar-SA"/>
        </w:rPr>
        <w:t>5.daļa -</w:t>
      </w:r>
      <w:proofErr w:type="spellStart"/>
      <w:r w:rsidRPr="00124BE5">
        <w:rPr>
          <w:rFonts w:asciiTheme="minorHAnsi" w:hAnsiTheme="minorHAnsi" w:cstheme="minorHAnsi"/>
          <w:b/>
          <w:sz w:val="22"/>
          <w:szCs w:val="22"/>
          <w:u w:val="single"/>
          <w:lang w:val="en-US" w:eastAsia="ar-SA"/>
        </w:rPr>
        <w:t>Uzkopšanas</w:t>
      </w:r>
      <w:proofErr w:type="spellEnd"/>
      <w:r w:rsidRPr="00124BE5">
        <w:rPr>
          <w:rFonts w:asciiTheme="minorHAnsi" w:hAnsiTheme="minorHAnsi" w:cstheme="minorHAnsi"/>
          <w:b/>
          <w:sz w:val="22"/>
          <w:szCs w:val="22"/>
          <w:u w:val="single"/>
          <w:lang w:val="en-US" w:eastAsia="ar-SA"/>
        </w:rPr>
        <w:t xml:space="preserve"> </w:t>
      </w:r>
      <w:proofErr w:type="spellStart"/>
      <w:r w:rsidRPr="00124BE5">
        <w:rPr>
          <w:rFonts w:asciiTheme="minorHAnsi" w:hAnsiTheme="minorHAnsi" w:cstheme="minorHAnsi"/>
          <w:b/>
          <w:sz w:val="22"/>
          <w:szCs w:val="22"/>
          <w:u w:val="single"/>
          <w:lang w:val="en-US" w:eastAsia="ar-SA"/>
        </w:rPr>
        <w:t>inventārs</w:t>
      </w:r>
      <w:proofErr w:type="spellEnd"/>
      <w:r>
        <w:rPr>
          <w:rFonts w:asciiTheme="minorHAnsi" w:hAnsiTheme="minorHAnsi" w:cstheme="minorHAnsi"/>
          <w:b/>
          <w:sz w:val="22"/>
          <w:szCs w:val="22"/>
          <w:u w:val="single"/>
          <w:lang w:val="en-US" w:eastAsia="ar-SA"/>
        </w:rPr>
        <w:t xml:space="preserve"> – </w:t>
      </w:r>
    </w:p>
    <w:p w14:paraId="38BA4E19" w14:textId="07B5A460" w:rsidR="00AB63ED" w:rsidRDefault="00AB63ED" w:rsidP="005F041F">
      <w:pPr>
        <w:jc w:val="both"/>
        <w:rPr>
          <w:rFonts w:asciiTheme="minorHAnsi" w:hAnsiTheme="minorHAnsi" w:cstheme="minorHAnsi"/>
          <w:b/>
          <w:sz w:val="22"/>
          <w:szCs w:val="22"/>
          <w:u w:val="single"/>
          <w:lang w:val="en-US" w:eastAsia="ar-SA"/>
        </w:rPr>
      </w:pPr>
      <w:r>
        <w:rPr>
          <w:bCs/>
          <w:i/>
          <w:color w:val="000000"/>
          <w:lang w:eastAsia="en-US"/>
        </w:rPr>
        <w:t xml:space="preserve">Noraidīts </w:t>
      </w:r>
      <w:r w:rsidRPr="0084571E">
        <w:rPr>
          <w:bCs/>
          <w:i/>
          <w:color w:val="000000"/>
          <w:lang w:eastAsia="en-US"/>
        </w:rPr>
        <w:t>SIA EMANSIS iesniegt</w:t>
      </w:r>
      <w:r>
        <w:rPr>
          <w:bCs/>
          <w:i/>
          <w:color w:val="000000"/>
          <w:lang w:eastAsia="en-US"/>
        </w:rPr>
        <w:t>ais</w:t>
      </w:r>
      <w:r w:rsidRPr="0084571E">
        <w:rPr>
          <w:bCs/>
          <w:i/>
          <w:color w:val="000000"/>
          <w:lang w:eastAsia="en-US"/>
        </w:rPr>
        <w:t xml:space="preserve"> piedāvājum</w:t>
      </w:r>
      <w:r>
        <w:rPr>
          <w:bCs/>
          <w:i/>
          <w:color w:val="000000"/>
          <w:lang w:eastAsia="en-US"/>
        </w:rPr>
        <w:t>s</w:t>
      </w:r>
      <w:r w:rsidRPr="0084571E">
        <w:rPr>
          <w:bCs/>
          <w:i/>
          <w:color w:val="000000"/>
          <w:lang w:eastAsia="en-US"/>
        </w:rPr>
        <w:t xml:space="preserve"> </w:t>
      </w:r>
      <w:r>
        <w:rPr>
          <w:bCs/>
          <w:i/>
          <w:color w:val="000000"/>
          <w:lang w:eastAsia="en-US"/>
        </w:rPr>
        <w:t>kā ne</w:t>
      </w:r>
      <w:r w:rsidRPr="0084571E">
        <w:rPr>
          <w:bCs/>
          <w:i/>
          <w:color w:val="000000"/>
          <w:lang w:eastAsia="en-US"/>
        </w:rPr>
        <w:t>atbilstoš</w:t>
      </w:r>
      <w:r>
        <w:rPr>
          <w:bCs/>
          <w:i/>
          <w:color w:val="000000"/>
          <w:lang w:eastAsia="en-US"/>
        </w:rPr>
        <w:t>s</w:t>
      </w:r>
      <w:r w:rsidRPr="0084571E">
        <w:rPr>
          <w:bCs/>
          <w:i/>
          <w:color w:val="000000"/>
          <w:lang w:eastAsia="en-US"/>
        </w:rPr>
        <w:t xml:space="preserve"> tehnisko specifikāciju prasībām</w:t>
      </w:r>
      <w:r>
        <w:rPr>
          <w:bCs/>
          <w:i/>
          <w:color w:val="000000"/>
          <w:lang w:eastAsia="en-US"/>
        </w:rPr>
        <w:t xml:space="preserve"> 2</w:t>
      </w:r>
      <w:r w:rsidRPr="0084571E">
        <w:rPr>
          <w:bCs/>
          <w:i/>
          <w:color w:val="000000"/>
          <w:lang w:eastAsia="en-US"/>
        </w:rPr>
        <w:t>.</w:t>
      </w:r>
      <w:r>
        <w:rPr>
          <w:bCs/>
          <w:i/>
          <w:color w:val="000000"/>
          <w:lang w:eastAsia="en-US"/>
        </w:rPr>
        <w:t xml:space="preserve"> Pozīcijā.</w:t>
      </w:r>
    </w:p>
    <w:tbl>
      <w:tblPr>
        <w:tblW w:w="5000" w:type="pct"/>
        <w:tblLook w:val="04A0" w:firstRow="1" w:lastRow="0" w:firstColumn="1" w:lastColumn="0" w:noHBand="0" w:noVBand="1"/>
      </w:tblPr>
      <w:tblGrid>
        <w:gridCol w:w="838"/>
        <w:gridCol w:w="1516"/>
        <w:gridCol w:w="2825"/>
        <w:gridCol w:w="4109"/>
      </w:tblGrid>
      <w:tr w:rsidR="00AB63ED" w:rsidRPr="00AB63ED" w14:paraId="3823B474" w14:textId="77777777" w:rsidTr="00124BE5">
        <w:trPr>
          <w:trHeight w:val="20"/>
          <w:tblHeader/>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810EF4" w14:textId="77777777" w:rsidR="00AB63ED" w:rsidRPr="00AB63ED" w:rsidRDefault="00AB63ED" w:rsidP="005F041F">
            <w:pPr>
              <w:jc w:val="center"/>
              <w:rPr>
                <w:sz w:val="18"/>
                <w:szCs w:val="18"/>
                <w:lang w:eastAsia="en-US"/>
              </w:rPr>
            </w:pPr>
            <w:proofErr w:type="spellStart"/>
            <w:r w:rsidRPr="00AB63ED">
              <w:rPr>
                <w:sz w:val="18"/>
                <w:szCs w:val="18"/>
                <w:lang w:eastAsia="en-US"/>
              </w:rPr>
              <w:t>N.p.k</w:t>
            </w:r>
            <w:proofErr w:type="spellEnd"/>
            <w:r w:rsidRPr="00AB63ED">
              <w:rPr>
                <w:sz w:val="18"/>
                <w:szCs w:val="18"/>
                <w:lang w:eastAsia="en-US"/>
              </w:rPr>
              <w:t>.</w:t>
            </w:r>
          </w:p>
        </w:tc>
        <w:tc>
          <w:tcPr>
            <w:tcW w:w="816" w:type="pct"/>
            <w:tcBorders>
              <w:top w:val="single" w:sz="4" w:space="0" w:color="auto"/>
              <w:left w:val="nil"/>
              <w:bottom w:val="single" w:sz="4" w:space="0" w:color="auto"/>
              <w:right w:val="single" w:sz="4" w:space="0" w:color="auto"/>
            </w:tcBorders>
            <w:shd w:val="clear" w:color="auto" w:fill="auto"/>
            <w:vAlign w:val="center"/>
            <w:hideMark/>
          </w:tcPr>
          <w:p w14:paraId="5B27AE8F" w14:textId="77777777" w:rsidR="00AB63ED" w:rsidRPr="00AB63ED" w:rsidRDefault="00AB63ED" w:rsidP="005F041F">
            <w:pPr>
              <w:jc w:val="center"/>
              <w:rPr>
                <w:b/>
                <w:bCs/>
                <w:sz w:val="18"/>
                <w:szCs w:val="18"/>
                <w:lang w:eastAsia="en-US"/>
              </w:rPr>
            </w:pPr>
            <w:r w:rsidRPr="00AB63ED">
              <w:rPr>
                <w:b/>
                <w:bCs/>
                <w:sz w:val="18"/>
                <w:szCs w:val="18"/>
                <w:lang w:eastAsia="en-US"/>
              </w:rPr>
              <w:t>Preces nosaukums</w:t>
            </w:r>
          </w:p>
        </w:tc>
        <w:tc>
          <w:tcPr>
            <w:tcW w:w="1521" w:type="pct"/>
            <w:tcBorders>
              <w:top w:val="single" w:sz="4" w:space="0" w:color="auto"/>
              <w:left w:val="nil"/>
              <w:bottom w:val="single" w:sz="4" w:space="0" w:color="auto"/>
              <w:right w:val="single" w:sz="4" w:space="0" w:color="auto"/>
            </w:tcBorders>
            <w:shd w:val="clear" w:color="auto" w:fill="auto"/>
            <w:vAlign w:val="center"/>
            <w:hideMark/>
          </w:tcPr>
          <w:p w14:paraId="1C6090F9" w14:textId="77777777" w:rsidR="00AB63ED" w:rsidRPr="00AB63ED" w:rsidRDefault="00AB63ED" w:rsidP="005F041F">
            <w:pPr>
              <w:jc w:val="center"/>
              <w:rPr>
                <w:b/>
                <w:bCs/>
                <w:sz w:val="18"/>
                <w:szCs w:val="18"/>
                <w:lang w:val="en-US" w:eastAsia="en-US"/>
              </w:rPr>
            </w:pPr>
            <w:proofErr w:type="spellStart"/>
            <w:r w:rsidRPr="00AB63ED">
              <w:rPr>
                <w:b/>
                <w:bCs/>
                <w:sz w:val="18"/>
                <w:szCs w:val="18"/>
                <w:lang w:val="en-US" w:eastAsia="en-US"/>
              </w:rPr>
              <w:t>Preces</w:t>
            </w:r>
            <w:proofErr w:type="spellEnd"/>
            <w:r w:rsidRPr="00AB63ED">
              <w:rPr>
                <w:b/>
                <w:bCs/>
                <w:sz w:val="18"/>
                <w:szCs w:val="18"/>
                <w:lang w:val="en-US" w:eastAsia="en-US"/>
              </w:rPr>
              <w:t xml:space="preserve"> </w:t>
            </w:r>
            <w:proofErr w:type="spellStart"/>
            <w:r w:rsidRPr="00AB63ED">
              <w:rPr>
                <w:b/>
                <w:bCs/>
                <w:sz w:val="18"/>
                <w:szCs w:val="18"/>
                <w:lang w:val="en-US" w:eastAsia="en-US"/>
              </w:rPr>
              <w:t>specifikācija</w:t>
            </w:r>
            <w:proofErr w:type="spellEnd"/>
            <w:r w:rsidRPr="00AB63ED">
              <w:rPr>
                <w:b/>
                <w:bCs/>
                <w:sz w:val="18"/>
                <w:szCs w:val="18"/>
                <w:lang w:val="en-US" w:eastAsia="en-US"/>
              </w:rPr>
              <w:t xml:space="preserve"> (</w:t>
            </w:r>
            <w:proofErr w:type="spellStart"/>
            <w:r w:rsidRPr="00AB63ED">
              <w:rPr>
                <w:b/>
                <w:bCs/>
                <w:sz w:val="18"/>
                <w:szCs w:val="18"/>
                <w:lang w:val="en-US" w:eastAsia="en-US"/>
              </w:rPr>
              <w:t>pasūtītāja</w:t>
            </w:r>
            <w:proofErr w:type="spellEnd"/>
            <w:r w:rsidRPr="00AB63ED">
              <w:rPr>
                <w:b/>
                <w:bCs/>
                <w:sz w:val="18"/>
                <w:szCs w:val="18"/>
                <w:lang w:val="en-US" w:eastAsia="en-US"/>
              </w:rPr>
              <w:t xml:space="preserve"> </w:t>
            </w:r>
            <w:proofErr w:type="spellStart"/>
            <w:r w:rsidRPr="00AB63ED">
              <w:rPr>
                <w:b/>
                <w:bCs/>
                <w:sz w:val="18"/>
                <w:szCs w:val="18"/>
                <w:lang w:val="en-US" w:eastAsia="en-US"/>
              </w:rPr>
              <w:t>minmālās</w:t>
            </w:r>
            <w:proofErr w:type="spellEnd"/>
            <w:r w:rsidRPr="00AB63ED">
              <w:rPr>
                <w:b/>
                <w:bCs/>
                <w:sz w:val="18"/>
                <w:szCs w:val="18"/>
                <w:lang w:val="en-US" w:eastAsia="en-US"/>
              </w:rPr>
              <w:t xml:space="preserve"> </w:t>
            </w:r>
            <w:proofErr w:type="spellStart"/>
            <w:r w:rsidRPr="00AB63ED">
              <w:rPr>
                <w:b/>
                <w:bCs/>
                <w:sz w:val="18"/>
                <w:szCs w:val="18"/>
                <w:lang w:val="en-US" w:eastAsia="en-US"/>
              </w:rPr>
              <w:t>prasības</w:t>
            </w:r>
            <w:proofErr w:type="spellEnd"/>
            <w:r w:rsidRPr="00AB63ED">
              <w:rPr>
                <w:b/>
                <w:bCs/>
                <w:sz w:val="18"/>
                <w:szCs w:val="18"/>
                <w:lang w:val="en-US" w:eastAsia="en-US"/>
              </w:rPr>
              <w:t xml:space="preserve"> </w:t>
            </w:r>
            <w:proofErr w:type="spellStart"/>
            <w:r w:rsidRPr="00AB63ED">
              <w:rPr>
                <w:b/>
                <w:bCs/>
                <w:sz w:val="18"/>
                <w:szCs w:val="18"/>
                <w:lang w:val="en-US" w:eastAsia="en-US"/>
              </w:rPr>
              <w:t>precei</w:t>
            </w:r>
            <w:proofErr w:type="spellEnd"/>
            <w:r w:rsidRPr="00AB63ED">
              <w:rPr>
                <w:b/>
                <w:bCs/>
                <w:sz w:val="18"/>
                <w:szCs w:val="18"/>
                <w:lang w:val="en-US" w:eastAsia="en-US"/>
              </w:rPr>
              <w:t>)</w:t>
            </w:r>
          </w:p>
        </w:tc>
        <w:tc>
          <w:tcPr>
            <w:tcW w:w="2212" w:type="pct"/>
            <w:tcBorders>
              <w:top w:val="single" w:sz="4" w:space="0" w:color="auto"/>
              <w:left w:val="nil"/>
              <w:bottom w:val="single" w:sz="4" w:space="0" w:color="auto"/>
              <w:right w:val="single" w:sz="4" w:space="0" w:color="auto"/>
            </w:tcBorders>
            <w:shd w:val="clear" w:color="auto" w:fill="auto"/>
            <w:vAlign w:val="center"/>
            <w:hideMark/>
          </w:tcPr>
          <w:p w14:paraId="6C95567C" w14:textId="588DF6B8" w:rsidR="00AB63ED" w:rsidRPr="00AB63ED" w:rsidRDefault="00AB63ED" w:rsidP="005F041F">
            <w:pPr>
              <w:jc w:val="center"/>
              <w:rPr>
                <w:b/>
                <w:bCs/>
                <w:sz w:val="18"/>
                <w:szCs w:val="18"/>
                <w:lang w:val="en-US" w:eastAsia="en-US"/>
              </w:rPr>
            </w:pPr>
            <w:proofErr w:type="spellStart"/>
            <w:r w:rsidRPr="00AB63ED">
              <w:rPr>
                <w:b/>
                <w:bCs/>
                <w:sz w:val="18"/>
                <w:szCs w:val="18"/>
                <w:lang w:val="en-US" w:eastAsia="en-US"/>
              </w:rPr>
              <w:t>Pretendenta</w:t>
            </w:r>
            <w:proofErr w:type="spellEnd"/>
            <w:r w:rsidRPr="00AB63ED">
              <w:rPr>
                <w:b/>
                <w:bCs/>
                <w:sz w:val="18"/>
                <w:szCs w:val="18"/>
                <w:lang w:val="en-US" w:eastAsia="en-US"/>
              </w:rPr>
              <w:t xml:space="preserve"> </w:t>
            </w:r>
            <w:proofErr w:type="spellStart"/>
            <w:r w:rsidRPr="00AB63ED">
              <w:rPr>
                <w:b/>
                <w:bCs/>
                <w:sz w:val="18"/>
                <w:szCs w:val="18"/>
                <w:lang w:val="en-US" w:eastAsia="en-US"/>
              </w:rPr>
              <w:t>piedāvātās</w:t>
            </w:r>
            <w:proofErr w:type="spellEnd"/>
            <w:r w:rsidRPr="00AB63ED">
              <w:rPr>
                <w:b/>
                <w:bCs/>
                <w:sz w:val="18"/>
                <w:szCs w:val="18"/>
                <w:lang w:val="en-US" w:eastAsia="en-US"/>
              </w:rPr>
              <w:t xml:space="preserve"> </w:t>
            </w:r>
            <w:proofErr w:type="spellStart"/>
            <w:r w:rsidRPr="00AB63ED">
              <w:rPr>
                <w:b/>
                <w:bCs/>
                <w:sz w:val="18"/>
                <w:szCs w:val="18"/>
                <w:lang w:val="en-US" w:eastAsia="en-US"/>
              </w:rPr>
              <w:t>preces</w:t>
            </w:r>
            <w:proofErr w:type="spellEnd"/>
            <w:r w:rsidRPr="00AB63ED">
              <w:rPr>
                <w:b/>
                <w:bCs/>
                <w:sz w:val="18"/>
                <w:szCs w:val="18"/>
                <w:lang w:val="en-US" w:eastAsia="en-US"/>
              </w:rPr>
              <w:t xml:space="preserve"> </w:t>
            </w:r>
            <w:proofErr w:type="spellStart"/>
            <w:r w:rsidRPr="00AB63ED">
              <w:rPr>
                <w:b/>
                <w:bCs/>
                <w:sz w:val="18"/>
                <w:szCs w:val="18"/>
                <w:lang w:val="en-US" w:eastAsia="en-US"/>
              </w:rPr>
              <w:t>specifikācija</w:t>
            </w:r>
            <w:proofErr w:type="spellEnd"/>
            <w:r w:rsidRPr="00AB63ED">
              <w:rPr>
                <w:b/>
                <w:bCs/>
                <w:sz w:val="18"/>
                <w:szCs w:val="18"/>
                <w:lang w:val="en-US" w:eastAsia="en-US"/>
              </w:rPr>
              <w:t xml:space="preserve"> </w:t>
            </w:r>
          </w:p>
        </w:tc>
      </w:tr>
      <w:tr w:rsidR="00AB63ED" w:rsidRPr="00AB63ED" w14:paraId="6E987D33" w14:textId="77777777" w:rsidTr="00124BE5">
        <w:trPr>
          <w:trHeight w:val="20"/>
          <w:tblHeader/>
        </w:trPr>
        <w:tc>
          <w:tcPr>
            <w:tcW w:w="451" w:type="pct"/>
            <w:tcBorders>
              <w:top w:val="nil"/>
              <w:left w:val="single" w:sz="4" w:space="0" w:color="auto"/>
              <w:bottom w:val="single" w:sz="4" w:space="0" w:color="auto"/>
              <w:right w:val="single" w:sz="4" w:space="0" w:color="auto"/>
            </w:tcBorders>
            <w:shd w:val="clear" w:color="000000" w:fill="FFFFFF"/>
            <w:noWrap/>
            <w:hideMark/>
          </w:tcPr>
          <w:p w14:paraId="60E6A242" w14:textId="77777777" w:rsidR="00AB63ED" w:rsidRPr="00AB63ED" w:rsidRDefault="00AB63ED" w:rsidP="005F041F">
            <w:pPr>
              <w:jc w:val="center"/>
              <w:rPr>
                <w:sz w:val="18"/>
                <w:szCs w:val="18"/>
                <w:lang w:val="en-US" w:eastAsia="en-US"/>
              </w:rPr>
            </w:pPr>
            <w:r w:rsidRPr="00AB63ED">
              <w:rPr>
                <w:sz w:val="18"/>
                <w:szCs w:val="18"/>
                <w:lang w:val="en-US" w:eastAsia="en-US"/>
              </w:rPr>
              <w:t>2</w:t>
            </w:r>
          </w:p>
        </w:tc>
        <w:tc>
          <w:tcPr>
            <w:tcW w:w="816" w:type="pct"/>
            <w:tcBorders>
              <w:top w:val="single" w:sz="4" w:space="0" w:color="auto"/>
              <w:left w:val="nil"/>
              <w:bottom w:val="single" w:sz="4" w:space="0" w:color="auto"/>
              <w:right w:val="single" w:sz="4" w:space="0" w:color="auto"/>
            </w:tcBorders>
            <w:shd w:val="clear" w:color="000000" w:fill="FFFFFF"/>
            <w:hideMark/>
          </w:tcPr>
          <w:p w14:paraId="0AEBB0C5" w14:textId="77777777" w:rsidR="00AB63ED" w:rsidRPr="00AB63ED" w:rsidRDefault="00AB63ED" w:rsidP="005F041F">
            <w:pPr>
              <w:jc w:val="center"/>
              <w:rPr>
                <w:sz w:val="18"/>
                <w:szCs w:val="18"/>
                <w:lang w:val="en-US" w:eastAsia="en-US"/>
              </w:rPr>
            </w:pPr>
            <w:proofErr w:type="spellStart"/>
            <w:r w:rsidRPr="00AB63ED">
              <w:rPr>
                <w:sz w:val="18"/>
                <w:szCs w:val="18"/>
                <w:lang w:val="en-US" w:eastAsia="en-US"/>
              </w:rPr>
              <w:t>Mikrošķiedru</w:t>
            </w:r>
            <w:proofErr w:type="spellEnd"/>
            <w:r w:rsidRPr="00AB63ED">
              <w:rPr>
                <w:sz w:val="18"/>
                <w:szCs w:val="18"/>
                <w:lang w:val="en-US" w:eastAsia="en-US"/>
              </w:rPr>
              <w:t xml:space="preserve"> </w:t>
            </w:r>
            <w:proofErr w:type="spellStart"/>
            <w:r w:rsidRPr="00AB63ED">
              <w:rPr>
                <w:sz w:val="18"/>
                <w:szCs w:val="18"/>
                <w:lang w:val="en-US" w:eastAsia="en-US"/>
              </w:rPr>
              <w:t>drāna</w:t>
            </w:r>
            <w:proofErr w:type="spellEnd"/>
            <w:r w:rsidRPr="00AB63ED">
              <w:rPr>
                <w:sz w:val="18"/>
                <w:szCs w:val="18"/>
                <w:lang w:val="en-US" w:eastAsia="en-US"/>
              </w:rPr>
              <w:t xml:space="preserve"> </w:t>
            </w:r>
            <w:proofErr w:type="spellStart"/>
            <w:r w:rsidRPr="00AB63ED">
              <w:rPr>
                <w:sz w:val="18"/>
                <w:szCs w:val="18"/>
                <w:lang w:val="en-US" w:eastAsia="en-US"/>
              </w:rPr>
              <w:t>tīrīšanai</w:t>
            </w:r>
            <w:proofErr w:type="spellEnd"/>
            <w:r w:rsidRPr="00AB63ED">
              <w:rPr>
                <w:sz w:val="18"/>
                <w:szCs w:val="18"/>
                <w:lang w:val="en-US" w:eastAsia="en-US"/>
              </w:rPr>
              <w:t xml:space="preserve">; </w:t>
            </w:r>
          </w:p>
        </w:tc>
        <w:tc>
          <w:tcPr>
            <w:tcW w:w="1521" w:type="pct"/>
            <w:tcBorders>
              <w:top w:val="nil"/>
              <w:left w:val="nil"/>
              <w:bottom w:val="single" w:sz="4" w:space="0" w:color="auto"/>
              <w:right w:val="single" w:sz="4" w:space="0" w:color="auto"/>
            </w:tcBorders>
            <w:shd w:val="clear" w:color="auto" w:fill="auto"/>
            <w:hideMark/>
          </w:tcPr>
          <w:p w14:paraId="0EE93389" w14:textId="77777777" w:rsidR="00AB63ED" w:rsidRPr="00AB63ED" w:rsidRDefault="00AB63ED" w:rsidP="005F041F">
            <w:pPr>
              <w:rPr>
                <w:sz w:val="18"/>
                <w:szCs w:val="18"/>
                <w:lang w:val="en-US" w:eastAsia="en-US"/>
              </w:rPr>
            </w:pPr>
            <w:proofErr w:type="spellStart"/>
            <w:r w:rsidRPr="00AB63ED">
              <w:rPr>
                <w:sz w:val="18"/>
                <w:szCs w:val="18"/>
                <w:lang w:val="en-US" w:eastAsia="en-US"/>
              </w:rPr>
              <w:t>Mikrošķiedras</w:t>
            </w:r>
            <w:proofErr w:type="spellEnd"/>
            <w:r w:rsidRPr="00AB63ED">
              <w:rPr>
                <w:sz w:val="18"/>
                <w:szCs w:val="18"/>
                <w:lang w:val="en-US" w:eastAsia="en-US"/>
              </w:rPr>
              <w:t xml:space="preserve"> </w:t>
            </w:r>
            <w:proofErr w:type="spellStart"/>
            <w:r w:rsidRPr="00AB63ED">
              <w:rPr>
                <w:sz w:val="18"/>
                <w:szCs w:val="18"/>
                <w:lang w:val="en-US" w:eastAsia="en-US"/>
              </w:rPr>
              <w:t>lupatas</w:t>
            </w:r>
            <w:proofErr w:type="spellEnd"/>
            <w:r w:rsidRPr="00AB63ED">
              <w:rPr>
                <w:sz w:val="18"/>
                <w:szCs w:val="18"/>
                <w:lang w:val="en-US" w:eastAsia="en-US"/>
              </w:rPr>
              <w:t xml:space="preserve"> 40 (+/- 5cm)x40 (+/- 5cm)cm, </w:t>
            </w:r>
            <w:proofErr w:type="spellStart"/>
            <w:r w:rsidRPr="00AB63ED">
              <w:rPr>
                <w:sz w:val="18"/>
                <w:szCs w:val="18"/>
                <w:lang w:val="en-US" w:eastAsia="en-US"/>
              </w:rPr>
              <w:t>grammāža</w:t>
            </w:r>
            <w:proofErr w:type="spellEnd"/>
            <w:r w:rsidRPr="00AB63ED">
              <w:rPr>
                <w:sz w:val="18"/>
                <w:szCs w:val="18"/>
                <w:lang w:val="en-US" w:eastAsia="en-US"/>
              </w:rPr>
              <w:t xml:space="preserve"> </w:t>
            </w:r>
            <w:r w:rsidRPr="00AB63ED">
              <w:rPr>
                <w:sz w:val="18"/>
                <w:szCs w:val="18"/>
                <w:highlight w:val="yellow"/>
                <w:lang w:val="en-US" w:eastAsia="en-US"/>
              </w:rPr>
              <w:t>230</w:t>
            </w:r>
            <w:r w:rsidRPr="00AB63ED">
              <w:rPr>
                <w:rFonts w:ascii="Calibri" w:hAnsi="Calibri" w:cs="Calibri"/>
                <w:sz w:val="18"/>
                <w:szCs w:val="18"/>
                <w:highlight w:val="yellow"/>
                <w:lang w:val="en-US" w:eastAsia="en-US"/>
              </w:rPr>
              <w:t>±</w:t>
            </w:r>
            <w:r w:rsidRPr="00AB63ED">
              <w:rPr>
                <w:sz w:val="18"/>
                <w:szCs w:val="18"/>
                <w:highlight w:val="yellow"/>
                <w:lang w:val="en-US" w:eastAsia="en-US"/>
              </w:rPr>
              <w:t>10gr./m2;</w:t>
            </w:r>
            <w:r w:rsidRPr="00AB63ED">
              <w:rPr>
                <w:sz w:val="18"/>
                <w:szCs w:val="18"/>
                <w:lang w:val="en-US" w:eastAsia="en-US"/>
              </w:rPr>
              <w:t xml:space="preserve">  </w:t>
            </w:r>
            <w:proofErr w:type="spellStart"/>
            <w:r w:rsidRPr="00AB63ED">
              <w:rPr>
                <w:i/>
                <w:sz w:val="18"/>
                <w:szCs w:val="18"/>
                <w:lang w:val="en-US" w:eastAsia="en-US"/>
              </w:rPr>
              <w:t>mazgāšanas</w:t>
            </w:r>
            <w:proofErr w:type="spellEnd"/>
            <w:r w:rsidRPr="00AB63ED">
              <w:rPr>
                <w:i/>
                <w:sz w:val="18"/>
                <w:szCs w:val="18"/>
                <w:lang w:val="en-US" w:eastAsia="en-US"/>
              </w:rPr>
              <w:t xml:space="preserve"> </w:t>
            </w:r>
            <w:proofErr w:type="spellStart"/>
            <w:r w:rsidRPr="00AB63ED">
              <w:rPr>
                <w:i/>
                <w:sz w:val="18"/>
                <w:szCs w:val="18"/>
                <w:lang w:val="en-US" w:eastAsia="en-US"/>
              </w:rPr>
              <w:t>temperatūra</w:t>
            </w:r>
            <w:proofErr w:type="spellEnd"/>
            <w:r w:rsidRPr="00AB63ED">
              <w:rPr>
                <w:i/>
                <w:sz w:val="18"/>
                <w:szCs w:val="18"/>
                <w:lang w:val="en-US" w:eastAsia="en-US"/>
              </w:rPr>
              <w:t xml:space="preserve"> </w:t>
            </w:r>
            <w:proofErr w:type="spellStart"/>
            <w:r w:rsidRPr="00AB63ED">
              <w:rPr>
                <w:i/>
                <w:sz w:val="18"/>
                <w:szCs w:val="18"/>
                <w:lang w:val="en-US" w:eastAsia="en-US"/>
              </w:rPr>
              <w:t>līdz</w:t>
            </w:r>
            <w:proofErr w:type="spellEnd"/>
            <w:r w:rsidRPr="00AB63ED">
              <w:rPr>
                <w:i/>
                <w:sz w:val="18"/>
                <w:szCs w:val="18"/>
                <w:lang w:val="en-US" w:eastAsia="en-US"/>
              </w:rPr>
              <w:t xml:space="preserve"> 60</w:t>
            </w:r>
            <w:r w:rsidRPr="00AB63ED">
              <w:rPr>
                <w:rFonts w:ascii="Calibri" w:hAnsi="Calibri" w:cs="Calibri"/>
                <w:i/>
                <w:sz w:val="18"/>
                <w:szCs w:val="18"/>
                <w:lang w:val="en-US" w:eastAsia="en-US"/>
              </w:rPr>
              <w:t>°</w:t>
            </w:r>
            <w:r w:rsidRPr="00AB63ED">
              <w:rPr>
                <w:i/>
                <w:sz w:val="18"/>
                <w:szCs w:val="18"/>
                <w:lang w:val="en-US" w:eastAsia="en-US"/>
              </w:rPr>
              <w:t>C</w:t>
            </w:r>
            <w:r w:rsidRPr="00AB63ED">
              <w:rPr>
                <w:sz w:val="18"/>
                <w:szCs w:val="18"/>
                <w:lang w:val="en-US" w:eastAsia="en-US"/>
              </w:rPr>
              <w:t xml:space="preserve">; </w:t>
            </w:r>
            <w:proofErr w:type="spellStart"/>
            <w:r w:rsidRPr="00AB63ED">
              <w:rPr>
                <w:sz w:val="18"/>
                <w:szCs w:val="18"/>
                <w:lang w:val="en-US" w:eastAsia="en-US"/>
              </w:rPr>
              <w:t>mazgāšanas</w:t>
            </w:r>
            <w:proofErr w:type="spellEnd"/>
            <w:r w:rsidRPr="00AB63ED">
              <w:rPr>
                <w:sz w:val="18"/>
                <w:szCs w:val="18"/>
                <w:lang w:val="en-US" w:eastAsia="en-US"/>
              </w:rPr>
              <w:t xml:space="preserve"> </w:t>
            </w:r>
            <w:proofErr w:type="spellStart"/>
            <w:r w:rsidRPr="00AB63ED">
              <w:rPr>
                <w:sz w:val="18"/>
                <w:szCs w:val="18"/>
                <w:lang w:val="en-US" w:eastAsia="en-US"/>
              </w:rPr>
              <w:t>cikli</w:t>
            </w:r>
            <w:proofErr w:type="spellEnd"/>
            <w:r w:rsidRPr="00AB63ED">
              <w:rPr>
                <w:sz w:val="18"/>
                <w:szCs w:val="18"/>
                <w:lang w:val="en-US" w:eastAsia="en-US"/>
              </w:rPr>
              <w:t xml:space="preserve"> - ne </w:t>
            </w:r>
            <w:proofErr w:type="spellStart"/>
            <w:r w:rsidRPr="00AB63ED">
              <w:rPr>
                <w:sz w:val="18"/>
                <w:szCs w:val="18"/>
                <w:lang w:val="en-US" w:eastAsia="en-US"/>
              </w:rPr>
              <w:t>mazāk</w:t>
            </w:r>
            <w:proofErr w:type="spellEnd"/>
            <w:r w:rsidRPr="00AB63ED">
              <w:rPr>
                <w:sz w:val="18"/>
                <w:szCs w:val="18"/>
                <w:lang w:val="en-US" w:eastAsia="en-US"/>
              </w:rPr>
              <w:t xml:space="preserve"> </w:t>
            </w:r>
            <w:proofErr w:type="spellStart"/>
            <w:r w:rsidRPr="00AB63ED">
              <w:rPr>
                <w:sz w:val="18"/>
                <w:szCs w:val="18"/>
                <w:lang w:val="en-US" w:eastAsia="en-US"/>
              </w:rPr>
              <w:t>kā</w:t>
            </w:r>
            <w:proofErr w:type="spellEnd"/>
            <w:r w:rsidRPr="00AB63ED">
              <w:rPr>
                <w:sz w:val="18"/>
                <w:szCs w:val="18"/>
                <w:lang w:val="en-US" w:eastAsia="en-US"/>
              </w:rPr>
              <w:t xml:space="preserve"> 300. </w:t>
            </w:r>
            <w:proofErr w:type="spellStart"/>
            <w:r w:rsidRPr="00AB63ED">
              <w:rPr>
                <w:sz w:val="18"/>
                <w:szCs w:val="18"/>
                <w:lang w:val="en-US" w:eastAsia="en-US"/>
              </w:rPr>
              <w:t>Jāpiedāvā</w:t>
            </w:r>
            <w:proofErr w:type="spellEnd"/>
            <w:r w:rsidRPr="00AB63ED">
              <w:rPr>
                <w:sz w:val="18"/>
                <w:szCs w:val="18"/>
                <w:lang w:val="en-US" w:eastAsia="en-US"/>
              </w:rPr>
              <w:t xml:space="preserve">  2 </w:t>
            </w:r>
            <w:proofErr w:type="spellStart"/>
            <w:r w:rsidRPr="00AB63ED">
              <w:rPr>
                <w:sz w:val="18"/>
                <w:szCs w:val="18"/>
                <w:lang w:val="en-US" w:eastAsia="en-US"/>
              </w:rPr>
              <w:t>kontrastējošas</w:t>
            </w:r>
            <w:proofErr w:type="spellEnd"/>
            <w:r w:rsidRPr="00AB63ED">
              <w:rPr>
                <w:sz w:val="18"/>
                <w:szCs w:val="18"/>
                <w:lang w:val="en-US" w:eastAsia="en-US"/>
              </w:rPr>
              <w:t xml:space="preserve"> </w:t>
            </w:r>
            <w:proofErr w:type="spellStart"/>
            <w:r w:rsidRPr="00AB63ED">
              <w:rPr>
                <w:sz w:val="18"/>
                <w:szCs w:val="18"/>
                <w:lang w:val="en-US" w:eastAsia="en-US"/>
              </w:rPr>
              <w:t>krāsas</w:t>
            </w:r>
            <w:proofErr w:type="spellEnd"/>
            <w:r w:rsidRPr="00AB63ED">
              <w:rPr>
                <w:sz w:val="18"/>
                <w:szCs w:val="18"/>
                <w:lang w:val="en-US" w:eastAsia="en-US"/>
              </w:rPr>
              <w:t xml:space="preserve">, </w:t>
            </w:r>
            <w:proofErr w:type="spellStart"/>
            <w:r w:rsidRPr="00AB63ED">
              <w:rPr>
                <w:sz w:val="18"/>
                <w:szCs w:val="18"/>
                <w:lang w:val="en-US" w:eastAsia="en-US"/>
              </w:rPr>
              <w:t>vēlams</w:t>
            </w:r>
            <w:proofErr w:type="spellEnd"/>
            <w:r w:rsidRPr="00AB63ED">
              <w:rPr>
                <w:sz w:val="18"/>
                <w:szCs w:val="18"/>
                <w:lang w:val="en-US" w:eastAsia="en-US"/>
              </w:rPr>
              <w:t xml:space="preserve"> </w:t>
            </w:r>
            <w:proofErr w:type="spellStart"/>
            <w:r w:rsidRPr="00AB63ED">
              <w:rPr>
                <w:sz w:val="18"/>
                <w:szCs w:val="18"/>
                <w:lang w:val="en-US" w:eastAsia="en-US"/>
              </w:rPr>
              <w:t>zila</w:t>
            </w:r>
            <w:proofErr w:type="spellEnd"/>
            <w:r w:rsidRPr="00AB63ED">
              <w:rPr>
                <w:sz w:val="18"/>
                <w:szCs w:val="18"/>
                <w:lang w:val="en-US" w:eastAsia="en-US"/>
              </w:rPr>
              <w:t xml:space="preserve"> un </w:t>
            </w:r>
            <w:proofErr w:type="spellStart"/>
            <w:r w:rsidRPr="00AB63ED">
              <w:rPr>
                <w:sz w:val="18"/>
                <w:szCs w:val="18"/>
                <w:lang w:val="en-US" w:eastAsia="en-US"/>
              </w:rPr>
              <w:t>sarkana</w:t>
            </w:r>
            <w:proofErr w:type="spellEnd"/>
          </w:p>
        </w:tc>
        <w:tc>
          <w:tcPr>
            <w:tcW w:w="2212" w:type="pct"/>
            <w:tcBorders>
              <w:top w:val="nil"/>
              <w:left w:val="nil"/>
              <w:bottom w:val="single" w:sz="4" w:space="0" w:color="auto"/>
              <w:right w:val="single" w:sz="4" w:space="0" w:color="auto"/>
            </w:tcBorders>
            <w:shd w:val="clear" w:color="000000" w:fill="FFFFFF"/>
            <w:hideMark/>
          </w:tcPr>
          <w:p w14:paraId="52E9CE34" w14:textId="77777777" w:rsidR="00AB63ED" w:rsidRPr="00AB63ED" w:rsidRDefault="00AB63ED" w:rsidP="005F041F">
            <w:pPr>
              <w:jc w:val="center"/>
              <w:rPr>
                <w:sz w:val="18"/>
                <w:szCs w:val="18"/>
                <w:lang w:val="en-US" w:eastAsia="en-US"/>
              </w:rPr>
            </w:pPr>
            <w:proofErr w:type="spellStart"/>
            <w:r w:rsidRPr="00AB63ED">
              <w:rPr>
                <w:sz w:val="18"/>
                <w:szCs w:val="18"/>
                <w:lang w:val="en-US" w:eastAsia="en-US"/>
              </w:rPr>
              <w:t>Mikrošķiedras</w:t>
            </w:r>
            <w:proofErr w:type="spellEnd"/>
            <w:r w:rsidRPr="00AB63ED">
              <w:rPr>
                <w:sz w:val="18"/>
                <w:szCs w:val="18"/>
                <w:lang w:val="en-US" w:eastAsia="en-US"/>
              </w:rPr>
              <w:t xml:space="preserve"> </w:t>
            </w:r>
            <w:proofErr w:type="spellStart"/>
            <w:r w:rsidRPr="00AB63ED">
              <w:rPr>
                <w:sz w:val="18"/>
                <w:szCs w:val="18"/>
                <w:lang w:val="en-US" w:eastAsia="en-US"/>
              </w:rPr>
              <w:t>lupatas</w:t>
            </w:r>
            <w:proofErr w:type="spellEnd"/>
            <w:r w:rsidRPr="00AB63ED">
              <w:rPr>
                <w:sz w:val="18"/>
                <w:szCs w:val="18"/>
                <w:lang w:val="en-US" w:eastAsia="en-US"/>
              </w:rPr>
              <w:t xml:space="preserve"> 35 x40cm, </w:t>
            </w:r>
            <w:proofErr w:type="spellStart"/>
            <w:r w:rsidRPr="00AB63ED">
              <w:rPr>
                <w:sz w:val="18"/>
                <w:szCs w:val="18"/>
                <w:lang w:val="en-US" w:eastAsia="en-US"/>
              </w:rPr>
              <w:t>grammāža</w:t>
            </w:r>
            <w:proofErr w:type="spellEnd"/>
            <w:r w:rsidRPr="00AB63ED">
              <w:rPr>
                <w:sz w:val="18"/>
                <w:szCs w:val="18"/>
                <w:lang w:val="en-US" w:eastAsia="en-US"/>
              </w:rPr>
              <w:t xml:space="preserve"> </w:t>
            </w:r>
            <w:r w:rsidRPr="00AB63ED">
              <w:rPr>
                <w:i/>
                <w:sz w:val="18"/>
                <w:szCs w:val="18"/>
                <w:highlight w:val="yellow"/>
                <w:lang w:val="en-US" w:eastAsia="en-US"/>
              </w:rPr>
              <w:t>270gr./m2</w:t>
            </w:r>
            <w:r w:rsidRPr="00AB63ED">
              <w:rPr>
                <w:i/>
                <w:sz w:val="18"/>
                <w:szCs w:val="18"/>
                <w:lang w:val="en-US" w:eastAsia="en-US"/>
              </w:rPr>
              <w:t>;</w:t>
            </w:r>
            <w:r w:rsidRPr="00AB63ED">
              <w:rPr>
                <w:sz w:val="18"/>
                <w:szCs w:val="18"/>
                <w:lang w:val="en-US" w:eastAsia="en-US"/>
              </w:rPr>
              <w:t xml:space="preserve">  </w:t>
            </w:r>
            <w:proofErr w:type="spellStart"/>
            <w:r w:rsidRPr="00AB63ED">
              <w:rPr>
                <w:i/>
                <w:sz w:val="18"/>
                <w:szCs w:val="18"/>
                <w:lang w:val="en-US" w:eastAsia="en-US"/>
              </w:rPr>
              <w:t>mazgāšanas</w:t>
            </w:r>
            <w:proofErr w:type="spellEnd"/>
            <w:r w:rsidRPr="00AB63ED">
              <w:rPr>
                <w:i/>
                <w:sz w:val="18"/>
                <w:szCs w:val="18"/>
                <w:lang w:val="en-US" w:eastAsia="en-US"/>
              </w:rPr>
              <w:t xml:space="preserve"> </w:t>
            </w:r>
            <w:proofErr w:type="spellStart"/>
            <w:r w:rsidRPr="00AB63ED">
              <w:rPr>
                <w:i/>
                <w:sz w:val="18"/>
                <w:szCs w:val="18"/>
                <w:lang w:val="en-US" w:eastAsia="en-US"/>
              </w:rPr>
              <w:t>temperatūra</w:t>
            </w:r>
            <w:proofErr w:type="spellEnd"/>
            <w:r w:rsidRPr="00AB63ED">
              <w:rPr>
                <w:i/>
                <w:sz w:val="18"/>
                <w:szCs w:val="18"/>
                <w:lang w:val="en-US" w:eastAsia="en-US"/>
              </w:rPr>
              <w:t xml:space="preserve"> </w:t>
            </w:r>
            <w:proofErr w:type="spellStart"/>
            <w:r w:rsidRPr="00AB63ED">
              <w:rPr>
                <w:i/>
                <w:sz w:val="18"/>
                <w:szCs w:val="18"/>
                <w:lang w:val="en-US" w:eastAsia="en-US"/>
              </w:rPr>
              <w:t>līdz</w:t>
            </w:r>
            <w:proofErr w:type="spellEnd"/>
            <w:r w:rsidRPr="00AB63ED">
              <w:rPr>
                <w:i/>
                <w:sz w:val="18"/>
                <w:szCs w:val="18"/>
                <w:lang w:val="en-US" w:eastAsia="en-US"/>
              </w:rPr>
              <w:t xml:space="preserve"> 95°C;</w:t>
            </w:r>
            <w:r w:rsidRPr="00AB63ED">
              <w:rPr>
                <w:sz w:val="18"/>
                <w:szCs w:val="18"/>
                <w:lang w:val="en-US" w:eastAsia="en-US"/>
              </w:rPr>
              <w:t xml:space="preserve"> </w:t>
            </w:r>
            <w:proofErr w:type="spellStart"/>
            <w:r w:rsidRPr="00AB63ED">
              <w:rPr>
                <w:sz w:val="18"/>
                <w:szCs w:val="18"/>
                <w:lang w:val="en-US" w:eastAsia="en-US"/>
              </w:rPr>
              <w:t>mazgāšanas</w:t>
            </w:r>
            <w:proofErr w:type="spellEnd"/>
            <w:r w:rsidRPr="00AB63ED">
              <w:rPr>
                <w:sz w:val="18"/>
                <w:szCs w:val="18"/>
                <w:lang w:val="en-US" w:eastAsia="en-US"/>
              </w:rPr>
              <w:t xml:space="preserve"> </w:t>
            </w:r>
            <w:proofErr w:type="spellStart"/>
            <w:r w:rsidRPr="00AB63ED">
              <w:rPr>
                <w:sz w:val="18"/>
                <w:szCs w:val="18"/>
                <w:lang w:val="en-US" w:eastAsia="en-US"/>
              </w:rPr>
              <w:t>cikli</w:t>
            </w:r>
            <w:proofErr w:type="spellEnd"/>
            <w:r w:rsidRPr="00AB63ED">
              <w:rPr>
                <w:sz w:val="18"/>
                <w:szCs w:val="18"/>
                <w:lang w:val="en-US" w:eastAsia="en-US"/>
              </w:rPr>
              <w:t xml:space="preserve"> - ne </w:t>
            </w:r>
            <w:proofErr w:type="spellStart"/>
            <w:r w:rsidRPr="00AB63ED">
              <w:rPr>
                <w:sz w:val="18"/>
                <w:szCs w:val="18"/>
                <w:lang w:val="en-US" w:eastAsia="en-US"/>
              </w:rPr>
              <w:t>mazāk</w:t>
            </w:r>
            <w:proofErr w:type="spellEnd"/>
            <w:r w:rsidRPr="00AB63ED">
              <w:rPr>
                <w:sz w:val="18"/>
                <w:szCs w:val="18"/>
                <w:lang w:val="en-US" w:eastAsia="en-US"/>
              </w:rPr>
              <w:t xml:space="preserve"> </w:t>
            </w:r>
            <w:proofErr w:type="spellStart"/>
            <w:r w:rsidRPr="00AB63ED">
              <w:rPr>
                <w:sz w:val="18"/>
                <w:szCs w:val="18"/>
                <w:lang w:val="en-US" w:eastAsia="en-US"/>
              </w:rPr>
              <w:t>kā</w:t>
            </w:r>
            <w:proofErr w:type="spellEnd"/>
            <w:r w:rsidRPr="00AB63ED">
              <w:rPr>
                <w:sz w:val="18"/>
                <w:szCs w:val="18"/>
                <w:lang w:val="en-US" w:eastAsia="en-US"/>
              </w:rPr>
              <w:t xml:space="preserve"> 300. </w:t>
            </w:r>
            <w:proofErr w:type="spellStart"/>
            <w:r w:rsidRPr="00AB63ED">
              <w:rPr>
                <w:sz w:val="18"/>
                <w:szCs w:val="18"/>
                <w:lang w:val="en-US" w:eastAsia="en-US"/>
              </w:rPr>
              <w:t>Piedāvā</w:t>
            </w:r>
            <w:proofErr w:type="spellEnd"/>
            <w:r w:rsidRPr="00AB63ED">
              <w:rPr>
                <w:sz w:val="18"/>
                <w:szCs w:val="18"/>
                <w:lang w:val="en-US" w:eastAsia="en-US"/>
              </w:rPr>
              <w:t xml:space="preserve">  2 </w:t>
            </w:r>
            <w:proofErr w:type="spellStart"/>
            <w:r w:rsidRPr="00AB63ED">
              <w:rPr>
                <w:sz w:val="18"/>
                <w:szCs w:val="18"/>
                <w:lang w:val="en-US" w:eastAsia="en-US"/>
              </w:rPr>
              <w:t>kontrastējošas</w:t>
            </w:r>
            <w:proofErr w:type="spellEnd"/>
            <w:r w:rsidRPr="00AB63ED">
              <w:rPr>
                <w:sz w:val="18"/>
                <w:szCs w:val="18"/>
                <w:lang w:val="en-US" w:eastAsia="en-US"/>
              </w:rPr>
              <w:t xml:space="preserve"> </w:t>
            </w:r>
            <w:proofErr w:type="spellStart"/>
            <w:r w:rsidRPr="00AB63ED">
              <w:rPr>
                <w:sz w:val="18"/>
                <w:szCs w:val="18"/>
                <w:lang w:val="en-US" w:eastAsia="en-US"/>
              </w:rPr>
              <w:t>krāsas</w:t>
            </w:r>
            <w:proofErr w:type="spellEnd"/>
            <w:r w:rsidRPr="00AB63ED">
              <w:rPr>
                <w:sz w:val="18"/>
                <w:szCs w:val="18"/>
                <w:lang w:val="en-US" w:eastAsia="en-US"/>
              </w:rPr>
              <w:t xml:space="preserve">, </w:t>
            </w:r>
            <w:proofErr w:type="spellStart"/>
            <w:r w:rsidRPr="00AB63ED">
              <w:rPr>
                <w:sz w:val="18"/>
                <w:szCs w:val="18"/>
                <w:lang w:val="en-US" w:eastAsia="en-US"/>
              </w:rPr>
              <w:t>zila</w:t>
            </w:r>
            <w:proofErr w:type="spellEnd"/>
            <w:r w:rsidRPr="00AB63ED">
              <w:rPr>
                <w:sz w:val="18"/>
                <w:szCs w:val="18"/>
                <w:lang w:val="en-US" w:eastAsia="en-US"/>
              </w:rPr>
              <w:t xml:space="preserve"> un </w:t>
            </w:r>
            <w:proofErr w:type="spellStart"/>
            <w:r w:rsidRPr="00AB63ED">
              <w:rPr>
                <w:sz w:val="18"/>
                <w:szCs w:val="18"/>
                <w:lang w:val="en-US" w:eastAsia="en-US"/>
              </w:rPr>
              <w:t>sarkana</w:t>
            </w:r>
            <w:proofErr w:type="spellEnd"/>
            <w:r w:rsidRPr="00AB63ED">
              <w:rPr>
                <w:sz w:val="18"/>
                <w:szCs w:val="18"/>
                <w:lang w:val="en-US" w:eastAsia="en-US"/>
              </w:rPr>
              <w:t xml:space="preserve">. </w:t>
            </w:r>
            <w:proofErr w:type="spellStart"/>
            <w:r w:rsidRPr="00AB63ED">
              <w:rPr>
                <w:sz w:val="18"/>
                <w:szCs w:val="18"/>
                <w:lang w:val="en-US" w:eastAsia="en-US"/>
              </w:rPr>
              <w:t>Skat</w:t>
            </w:r>
            <w:proofErr w:type="spellEnd"/>
            <w:r w:rsidRPr="00AB63ED">
              <w:rPr>
                <w:sz w:val="18"/>
                <w:szCs w:val="18"/>
                <w:lang w:val="en-US" w:eastAsia="en-US"/>
              </w:rPr>
              <w:t xml:space="preserve">. </w:t>
            </w:r>
            <w:proofErr w:type="spellStart"/>
            <w:r w:rsidRPr="00AB63ED">
              <w:rPr>
                <w:sz w:val="18"/>
                <w:szCs w:val="18"/>
                <w:lang w:val="en-US" w:eastAsia="en-US"/>
              </w:rPr>
              <w:t>pievienotajā</w:t>
            </w:r>
            <w:proofErr w:type="spellEnd"/>
            <w:r w:rsidRPr="00AB63ED">
              <w:rPr>
                <w:sz w:val="18"/>
                <w:szCs w:val="18"/>
                <w:lang w:val="en-US" w:eastAsia="en-US"/>
              </w:rPr>
              <w:t xml:space="preserve"> </w:t>
            </w:r>
            <w:proofErr w:type="spellStart"/>
            <w:r w:rsidRPr="00AB63ED">
              <w:rPr>
                <w:sz w:val="18"/>
                <w:szCs w:val="18"/>
                <w:lang w:val="en-US" w:eastAsia="en-US"/>
              </w:rPr>
              <w:t>Vermop</w:t>
            </w:r>
            <w:proofErr w:type="spellEnd"/>
            <w:r w:rsidRPr="00AB63ED">
              <w:rPr>
                <w:sz w:val="18"/>
                <w:szCs w:val="18"/>
                <w:lang w:val="en-US" w:eastAsia="en-US"/>
              </w:rPr>
              <w:t xml:space="preserve"> </w:t>
            </w:r>
            <w:proofErr w:type="spellStart"/>
            <w:r w:rsidRPr="00AB63ED">
              <w:rPr>
                <w:sz w:val="18"/>
                <w:szCs w:val="18"/>
                <w:lang w:val="en-US" w:eastAsia="en-US"/>
              </w:rPr>
              <w:t>produktu</w:t>
            </w:r>
            <w:proofErr w:type="spellEnd"/>
            <w:r w:rsidRPr="00AB63ED">
              <w:rPr>
                <w:sz w:val="18"/>
                <w:szCs w:val="18"/>
                <w:lang w:val="en-US" w:eastAsia="en-US"/>
              </w:rPr>
              <w:t xml:space="preserve"> </w:t>
            </w:r>
            <w:proofErr w:type="spellStart"/>
            <w:r w:rsidRPr="00AB63ED">
              <w:rPr>
                <w:sz w:val="18"/>
                <w:szCs w:val="18"/>
                <w:lang w:val="en-US" w:eastAsia="en-US"/>
              </w:rPr>
              <w:t>katalogā</w:t>
            </w:r>
            <w:proofErr w:type="spellEnd"/>
            <w:r w:rsidRPr="00AB63ED">
              <w:rPr>
                <w:sz w:val="18"/>
                <w:szCs w:val="18"/>
                <w:lang w:val="en-US" w:eastAsia="en-US"/>
              </w:rPr>
              <w:t xml:space="preserve"> 104.lpp.</w:t>
            </w:r>
          </w:p>
        </w:tc>
      </w:tr>
    </w:tbl>
    <w:p w14:paraId="132B419E" w14:textId="77777777" w:rsidR="00AB63ED" w:rsidRPr="00124BE5" w:rsidRDefault="00AB63ED" w:rsidP="005F041F">
      <w:pPr>
        <w:jc w:val="both"/>
        <w:rPr>
          <w:rFonts w:asciiTheme="minorHAnsi" w:hAnsiTheme="minorHAnsi" w:cstheme="minorHAnsi"/>
          <w:b/>
          <w:sz w:val="22"/>
          <w:szCs w:val="22"/>
          <w:u w:val="single"/>
          <w:lang w:val="en-US" w:eastAsia="ar-SA"/>
        </w:rPr>
      </w:pPr>
    </w:p>
    <w:p w14:paraId="7C86F8BC" w14:textId="625974C0" w:rsidR="00CC7CFE" w:rsidRDefault="00CC7CFE" w:rsidP="005F041F">
      <w:pPr>
        <w:numPr>
          <w:ilvl w:val="0"/>
          <w:numId w:val="3"/>
        </w:numPr>
        <w:tabs>
          <w:tab w:val="left" w:pos="284"/>
          <w:tab w:val="left" w:pos="426"/>
        </w:tabs>
        <w:ind w:left="0" w:firstLine="0"/>
        <w:jc w:val="both"/>
        <w:rPr>
          <w:rFonts w:asciiTheme="minorHAnsi" w:hAnsiTheme="minorHAnsi" w:cstheme="minorHAnsi"/>
          <w:sz w:val="22"/>
          <w:szCs w:val="22"/>
        </w:rPr>
      </w:pPr>
      <w:r w:rsidRPr="00656978">
        <w:rPr>
          <w:rFonts w:asciiTheme="minorHAnsi" w:hAnsiTheme="minorHAnsi" w:cstheme="minorHAnsi"/>
          <w:b/>
          <w:sz w:val="22"/>
          <w:szCs w:val="22"/>
          <w:u w:val="single"/>
        </w:rPr>
        <w:t xml:space="preserve">Piedāvājuma izvēles un vērtēšanas kritēriji: </w:t>
      </w:r>
      <w:r w:rsidR="00523801" w:rsidRPr="00656978">
        <w:rPr>
          <w:rFonts w:asciiTheme="minorHAnsi" w:hAnsiTheme="minorHAnsi" w:cstheme="minorHAnsi"/>
          <w:sz w:val="22"/>
          <w:szCs w:val="22"/>
        </w:rPr>
        <w:t>Piedāvājums, kas ir ar viszemāko cenu un kas pilnībā atbilst izvirzītajām prasībām</w:t>
      </w:r>
      <w:r w:rsidR="00336D11">
        <w:rPr>
          <w:rFonts w:asciiTheme="minorHAnsi" w:hAnsiTheme="minorHAnsi" w:cstheme="minorHAnsi"/>
          <w:sz w:val="22"/>
          <w:szCs w:val="22"/>
        </w:rPr>
        <w:t xml:space="preserve"> konkrētajā iepirkuma daļā</w:t>
      </w:r>
      <w:r w:rsidR="00523801" w:rsidRPr="00656978">
        <w:rPr>
          <w:rFonts w:asciiTheme="minorHAnsi" w:hAnsiTheme="minorHAnsi" w:cstheme="minorHAnsi"/>
          <w:sz w:val="22"/>
          <w:szCs w:val="22"/>
        </w:rPr>
        <w:t>.</w:t>
      </w:r>
    </w:p>
    <w:p w14:paraId="5E6FAE18" w14:textId="77777777" w:rsidR="00AB63ED" w:rsidRPr="00656978" w:rsidRDefault="00AB63ED" w:rsidP="005F041F">
      <w:pPr>
        <w:tabs>
          <w:tab w:val="left" w:pos="284"/>
          <w:tab w:val="left" w:pos="426"/>
        </w:tabs>
        <w:jc w:val="both"/>
        <w:rPr>
          <w:rFonts w:asciiTheme="minorHAnsi" w:hAnsiTheme="minorHAnsi" w:cstheme="minorHAnsi"/>
          <w:sz w:val="22"/>
          <w:szCs w:val="22"/>
        </w:rPr>
      </w:pPr>
    </w:p>
    <w:p w14:paraId="206ED118" w14:textId="77777777" w:rsidR="00CB365A" w:rsidRPr="00656978" w:rsidRDefault="00CC7CFE" w:rsidP="005F041F">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b/>
          <w:sz w:val="22"/>
          <w:szCs w:val="22"/>
          <w:lang w:eastAsia="en-US"/>
        </w:rPr>
      </w:pPr>
      <w:r w:rsidRPr="00656978">
        <w:rPr>
          <w:rFonts w:asciiTheme="minorHAnsi" w:hAnsiTheme="minorHAnsi" w:cstheme="minorHAnsi"/>
          <w:b/>
          <w:sz w:val="22"/>
          <w:szCs w:val="22"/>
          <w:u w:val="single"/>
        </w:rPr>
        <w:t>Pretendenta nosaukums, ar kuru nolemts slēgt iepirkuma līgumu un pamatojums</w:t>
      </w:r>
    </w:p>
    <w:p w14:paraId="7D46E3A8" w14:textId="5DF1E8B6" w:rsidR="00656978" w:rsidRDefault="00CC7CFE" w:rsidP="005F041F">
      <w:pPr>
        <w:widowControl w:val="0"/>
        <w:tabs>
          <w:tab w:val="left" w:pos="284"/>
          <w:tab w:val="left" w:pos="426"/>
        </w:tabs>
        <w:autoSpaceDE w:val="0"/>
        <w:autoSpaceDN w:val="0"/>
        <w:adjustRightInd w:val="0"/>
        <w:contextualSpacing/>
        <w:jc w:val="both"/>
        <w:rPr>
          <w:rFonts w:asciiTheme="minorHAnsi" w:hAnsiTheme="minorHAnsi" w:cstheme="minorHAnsi"/>
          <w:b/>
          <w:sz w:val="22"/>
          <w:szCs w:val="22"/>
          <w:u w:val="single"/>
        </w:rPr>
      </w:pPr>
      <w:r w:rsidRPr="00656978">
        <w:rPr>
          <w:rFonts w:asciiTheme="minorHAnsi" w:hAnsiTheme="minorHAnsi" w:cstheme="minorHAnsi"/>
          <w:b/>
          <w:sz w:val="22"/>
          <w:szCs w:val="22"/>
          <w:u w:val="single"/>
        </w:rPr>
        <w:t xml:space="preserve"> piedāvājuma izvēlei:</w:t>
      </w:r>
      <w:r w:rsidR="007B42FF" w:rsidRPr="00656978">
        <w:rPr>
          <w:rFonts w:asciiTheme="minorHAnsi" w:hAnsiTheme="minorHAnsi" w:cstheme="minorHAnsi"/>
          <w:b/>
          <w:sz w:val="22"/>
          <w:szCs w:val="22"/>
          <w:u w:val="single"/>
        </w:rPr>
        <w:t xml:space="preserve"> </w:t>
      </w:r>
      <w:r w:rsidR="00306B3C" w:rsidRPr="00656978">
        <w:rPr>
          <w:rFonts w:asciiTheme="minorHAnsi" w:hAnsiTheme="minorHAnsi" w:cstheme="minorHAnsi"/>
          <w:b/>
          <w:sz w:val="22"/>
          <w:szCs w:val="22"/>
          <w:u w:val="single"/>
        </w:rPr>
        <w:t xml:space="preserve"> </w:t>
      </w:r>
      <w:r w:rsidR="00336D11">
        <w:rPr>
          <w:rFonts w:asciiTheme="minorHAnsi" w:hAnsiTheme="minorHAnsi" w:cstheme="minorHAns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907"/>
        <w:gridCol w:w="2268"/>
        <w:gridCol w:w="2376"/>
      </w:tblGrid>
      <w:tr w:rsidR="00CE3821" w:rsidRPr="00CE3821" w14:paraId="7FCF7EB5" w14:textId="77777777" w:rsidTr="00124BE5">
        <w:trPr>
          <w:trHeight w:val="20"/>
        </w:trPr>
        <w:tc>
          <w:tcPr>
            <w:tcW w:w="397" w:type="pct"/>
            <w:vMerge w:val="restart"/>
            <w:shd w:val="clear" w:color="auto" w:fill="auto"/>
            <w:noWrap/>
            <w:textDirection w:val="btLr"/>
            <w:vAlign w:val="bottom"/>
            <w:hideMark/>
          </w:tcPr>
          <w:p w14:paraId="19E5FD7D" w14:textId="77777777" w:rsidR="00CE3821" w:rsidRPr="00CE3821" w:rsidRDefault="00CE3821" w:rsidP="005F041F">
            <w:pPr>
              <w:ind w:left="113" w:right="113"/>
              <w:rPr>
                <w:b/>
                <w:bCs/>
                <w:color w:val="000000"/>
                <w:sz w:val="20"/>
                <w:szCs w:val="20"/>
                <w:lang w:val="en-US" w:eastAsia="en-US"/>
              </w:rPr>
            </w:pPr>
            <w:proofErr w:type="spellStart"/>
            <w:r w:rsidRPr="00CE3821">
              <w:rPr>
                <w:b/>
                <w:bCs/>
                <w:color w:val="000000"/>
                <w:sz w:val="20"/>
                <w:szCs w:val="20"/>
                <w:lang w:val="en-US" w:eastAsia="en-US"/>
              </w:rPr>
              <w:t>Iepirkuma</w:t>
            </w:r>
            <w:proofErr w:type="spellEnd"/>
            <w:r w:rsidRPr="00CE3821">
              <w:rPr>
                <w:b/>
                <w:bCs/>
                <w:color w:val="000000"/>
                <w:sz w:val="20"/>
                <w:szCs w:val="20"/>
                <w:lang w:val="en-US" w:eastAsia="en-US"/>
              </w:rPr>
              <w:t xml:space="preserve"> </w:t>
            </w:r>
            <w:proofErr w:type="spellStart"/>
            <w:r w:rsidRPr="00CE3821">
              <w:rPr>
                <w:b/>
                <w:bCs/>
                <w:color w:val="000000"/>
                <w:sz w:val="20"/>
                <w:szCs w:val="20"/>
                <w:lang w:val="en-US" w:eastAsia="en-US"/>
              </w:rPr>
              <w:t>daļa</w:t>
            </w:r>
            <w:proofErr w:type="spellEnd"/>
            <w:r w:rsidRPr="00CE3821">
              <w:rPr>
                <w:b/>
                <w:bCs/>
                <w:color w:val="000000"/>
                <w:sz w:val="20"/>
                <w:szCs w:val="20"/>
                <w:lang w:val="en-US" w:eastAsia="en-US"/>
              </w:rPr>
              <w:t xml:space="preserve"> </w:t>
            </w:r>
            <w:proofErr w:type="spellStart"/>
            <w:r w:rsidRPr="00CE3821">
              <w:rPr>
                <w:b/>
                <w:bCs/>
                <w:color w:val="000000"/>
                <w:sz w:val="20"/>
                <w:szCs w:val="20"/>
                <w:lang w:val="en-US" w:eastAsia="en-US"/>
              </w:rPr>
              <w:t>nr</w:t>
            </w:r>
            <w:proofErr w:type="spellEnd"/>
            <w:r w:rsidRPr="00CE3821">
              <w:rPr>
                <w:b/>
                <w:bCs/>
                <w:color w:val="000000"/>
                <w:sz w:val="20"/>
                <w:szCs w:val="20"/>
                <w:lang w:val="en-US" w:eastAsia="en-US"/>
              </w:rPr>
              <w:t>.</w:t>
            </w:r>
          </w:p>
        </w:tc>
        <w:tc>
          <w:tcPr>
            <w:tcW w:w="2103" w:type="pct"/>
            <w:vMerge w:val="restart"/>
            <w:shd w:val="clear" w:color="auto" w:fill="auto"/>
            <w:noWrap/>
            <w:vAlign w:val="bottom"/>
            <w:hideMark/>
          </w:tcPr>
          <w:p w14:paraId="273A556A" w14:textId="77777777" w:rsidR="00CE3821" w:rsidRPr="00CE3821" w:rsidRDefault="00CE3821" w:rsidP="005F041F">
            <w:pPr>
              <w:rPr>
                <w:b/>
                <w:bCs/>
                <w:color w:val="000000"/>
                <w:sz w:val="22"/>
                <w:szCs w:val="22"/>
                <w:lang w:val="en-US" w:eastAsia="en-US"/>
              </w:rPr>
            </w:pPr>
            <w:proofErr w:type="spellStart"/>
            <w:r w:rsidRPr="00CE3821">
              <w:rPr>
                <w:b/>
                <w:bCs/>
                <w:color w:val="000000"/>
                <w:sz w:val="22"/>
                <w:szCs w:val="22"/>
                <w:lang w:val="en-US" w:eastAsia="en-US"/>
              </w:rPr>
              <w:t>Iepirkuma</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daļas</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nosaukums</w:t>
            </w:r>
            <w:proofErr w:type="spellEnd"/>
          </w:p>
        </w:tc>
        <w:tc>
          <w:tcPr>
            <w:tcW w:w="2500" w:type="pct"/>
            <w:gridSpan w:val="2"/>
          </w:tcPr>
          <w:p w14:paraId="03EB9569" w14:textId="77777777" w:rsidR="00CE3821" w:rsidRPr="00CE3821" w:rsidRDefault="00CE3821" w:rsidP="005F041F">
            <w:pPr>
              <w:jc w:val="center"/>
              <w:rPr>
                <w:b/>
                <w:bCs/>
                <w:color w:val="000000"/>
                <w:sz w:val="22"/>
                <w:szCs w:val="22"/>
                <w:lang w:val="en-US" w:eastAsia="en-US"/>
              </w:rPr>
            </w:pPr>
            <w:proofErr w:type="spellStart"/>
            <w:r w:rsidRPr="00CE3821">
              <w:rPr>
                <w:b/>
                <w:bCs/>
                <w:color w:val="000000"/>
                <w:sz w:val="22"/>
                <w:szCs w:val="22"/>
                <w:lang w:val="en-US" w:eastAsia="en-US"/>
              </w:rPr>
              <w:t>Piedāvājumi</w:t>
            </w:r>
            <w:proofErr w:type="spellEnd"/>
            <w:r w:rsidRPr="00CE3821">
              <w:rPr>
                <w:b/>
                <w:bCs/>
                <w:color w:val="000000"/>
                <w:sz w:val="22"/>
                <w:szCs w:val="22"/>
                <w:lang w:val="en-US" w:eastAsia="en-US"/>
              </w:rPr>
              <w:t xml:space="preserve"> , </w:t>
            </w:r>
            <w:proofErr w:type="spellStart"/>
            <w:r w:rsidRPr="00CE3821">
              <w:rPr>
                <w:b/>
                <w:bCs/>
                <w:color w:val="000000"/>
                <w:sz w:val="22"/>
                <w:szCs w:val="22"/>
                <w:lang w:val="en-US" w:eastAsia="en-US"/>
              </w:rPr>
              <w:t>kuri</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atbilda</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visām</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izvirzītajām</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prasībām</w:t>
            </w:r>
            <w:proofErr w:type="spellEnd"/>
            <w:r w:rsidRPr="00CE3821">
              <w:rPr>
                <w:b/>
                <w:bCs/>
                <w:color w:val="000000"/>
                <w:sz w:val="22"/>
                <w:szCs w:val="22"/>
                <w:lang w:val="en-US" w:eastAsia="en-US"/>
              </w:rPr>
              <w:t xml:space="preserve"> un </w:t>
            </w:r>
            <w:proofErr w:type="spellStart"/>
            <w:r w:rsidRPr="00CE3821">
              <w:rPr>
                <w:b/>
                <w:bCs/>
                <w:color w:val="000000"/>
                <w:sz w:val="22"/>
                <w:szCs w:val="22"/>
                <w:lang w:val="en-US" w:eastAsia="en-US"/>
              </w:rPr>
              <w:t>bija</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ar</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zemāko</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piedāvāto</w:t>
            </w:r>
            <w:proofErr w:type="spellEnd"/>
            <w:r w:rsidRPr="00CE3821">
              <w:rPr>
                <w:b/>
                <w:bCs/>
                <w:color w:val="000000"/>
                <w:sz w:val="22"/>
                <w:szCs w:val="22"/>
                <w:lang w:val="en-US" w:eastAsia="en-US"/>
              </w:rPr>
              <w:t xml:space="preserve"> </w:t>
            </w:r>
            <w:proofErr w:type="spellStart"/>
            <w:r w:rsidRPr="00CE3821">
              <w:rPr>
                <w:b/>
                <w:bCs/>
                <w:color w:val="000000"/>
                <w:sz w:val="22"/>
                <w:szCs w:val="22"/>
                <w:lang w:val="en-US" w:eastAsia="en-US"/>
              </w:rPr>
              <w:t>līgumcenu</w:t>
            </w:r>
            <w:proofErr w:type="spellEnd"/>
          </w:p>
        </w:tc>
      </w:tr>
      <w:tr w:rsidR="00CE3821" w:rsidRPr="00CE3821" w14:paraId="35A53582" w14:textId="77777777" w:rsidTr="00CE3821">
        <w:trPr>
          <w:trHeight w:val="20"/>
        </w:trPr>
        <w:tc>
          <w:tcPr>
            <w:tcW w:w="397" w:type="pct"/>
            <w:vMerge/>
            <w:shd w:val="clear" w:color="auto" w:fill="auto"/>
            <w:noWrap/>
            <w:vAlign w:val="bottom"/>
          </w:tcPr>
          <w:p w14:paraId="563CF457" w14:textId="77777777" w:rsidR="00CE3821" w:rsidRPr="00CE3821" w:rsidRDefault="00CE3821" w:rsidP="005F041F">
            <w:pPr>
              <w:rPr>
                <w:b/>
                <w:bCs/>
                <w:color w:val="000000"/>
                <w:sz w:val="22"/>
                <w:szCs w:val="22"/>
                <w:lang w:val="en-US" w:eastAsia="en-US"/>
              </w:rPr>
            </w:pPr>
          </w:p>
        </w:tc>
        <w:tc>
          <w:tcPr>
            <w:tcW w:w="2103" w:type="pct"/>
            <w:vMerge/>
            <w:shd w:val="clear" w:color="auto" w:fill="auto"/>
            <w:noWrap/>
            <w:vAlign w:val="bottom"/>
          </w:tcPr>
          <w:p w14:paraId="7B76A0EB" w14:textId="77777777" w:rsidR="00CE3821" w:rsidRPr="00CE3821" w:rsidRDefault="00CE3821" w:rsidP="005F041F">
            <w:pPr>
              <w:rPr>
                <w:b/>
                <w:bCs/>
                <w:color w:val="000000"/>
                <w:sz w:val="22"/>
                <w:szCs w:val="22"/>
                <w:lang w:val="en-US" w:eastAsia="en-US"/>
              </w:rPr>
            </w:pPr>
          </w:p>
        </w:tc>
        <w:tc>
          <w:tcPr>
            <w:tcW w:w="1221" w:type="pct"/>
          </w:tcPr>
          <w:p w14:paraId="1108461E" w14:textId="77777777" w:rsidR="00CE3821" w:rsidRPr="00CE3821" w:rsidRDefault="00CE3821" w:rsidP="005F041F">
            <w:pPr>
              <w:widowControl w:val="0"/>
              <w:autoSpaceDE w:val="0"/>
              <w:autoSpaceDN w:val="0"/>
              <w:adjustRightInd w:val="0"/>
              <w:rPr>
                <w:b/>
                <w:bCs/>
                <w:color w:val="000000"/>
                <w:sz w:val="22"/>
                <w:szCs w:val="22"/>
                <w:lang w:val="en-US" w:eastAsia="en-US"/>
              </w:rPr>
            </w:pPr>
            <w:proofErr w:type="spellStart"/>
            <w:r w:rsidRPr="00CE3821">
              <w:rPr>
                <w:b/>
                <w:bCs/>
                <w:color w:val="000000"/>
                <w:sz w:val="22"/>
                <w:szCs w:val="22"/>
                <w:lang w:val="en-US" w:eastAsia="en-US"/>
              </w:rPr>
              <w:t>Pretendents</w:t>
            </w:r>
            <w:proofErr w:type="spellEnd"/>
          </w:p>
        </w:tc>
        <w:tc>
          <w:tcPr>
            <w:tcW w:w="1279" w:type="pct"/>
          </w:tcPr>
          <w:p w14:paraId="0576B25C" w14:textId="77777777" w:rsidR="00CE3821" w:rsidRPr="00CE3821" w:rsidRDefault="00CE3821" w:rsidP="005F041F">
            <w:pPr>
              <w:widowControl w:val="0"/>
              <w:autoSpaceDE w:val="0"/>
              <w:autoSpaceDN w:val="0"/>
              <w:adjustRightInd w:val="0"/>
              <w:rPr>
                <w:b/>
                <w:bCs/>
                <w:color w:val="000000"/>
                <w:sz w:val="22"/>
                <w:szCs w:val="22"/>
                <w:lang w:val="en-US" w:eastAsia="en-US"/>
              </w:rPr>
            </w:pPr>
            <w:proofErr w:type="spellStart"/>
            <w:r w:rsidRPr="00CE3821">
              <w:rPr>
                <w:b/>
                <w:bCs/>
                <w:color w:val="000000"/>
                <w:sz w:val="22"/>
                <w:szCs w:val="22"/>
                <w:lang w:val="en-US" w:eastAsia="en-US"/>
              </w:rPr>
              <w:t>Līgumcena</w:t>
            </w:r>
            <w:proofErr w:type="spellEnd"/>
            <w:r w:rsidRPr="00CE3821">
              <w:rPr>
                <w:b/>
                <w:bCs/>
                <w:color w:val="000000"/>
                <w:sz w:val="22"/>
                <w:szCs w:val="22"/>
                <w:lang w:val="en-US" w:eastAsia="en-US"/>
              </w:rPr>
              <w:t xml:space="preserve"> EUR bez PVN.</w:t>
            </w:r>
          </w:p>
        </w:tc>
      </w:tr>
      <w:tr w:rsidR="00CE3821" w:rsidRPr="00CE3821" w14:paraId="4C0AD6B1" w14:textId="77777777" w:rsidTr="00124BE5">
        <w:trPr>
          <w:trHeight w:val="20"/>
        </w:trPr>
        <w:tc>
          <w:tcPr>
            <w:tcW w:w="397" w:type="pct"/>
            <w:shd w:val="clear" w:color="auto" w:fill="F2F2F2" w:themeFill="background1" w:themeFillShade="F2"/>
            <w:noWrap/>
            <w:vAlign w:val="bottom"/>
            <w:hideMark/>
          </w:tcPr>
          <w:p w14:paraId="1E029E03"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1</w:t>
            </w:r>
          </w:p>
        </w:tc>
        <w:tc>
          <w:tcPr>
            <w:tcW w:w="2103" w:type="pct"/>
            <w:shd w:val="clear" w:color="auto" w:fill="F2F2F2" w:themeFill="background1" w:themeFillShade="F2"/>
            <w:noWrap/>
            <w:vAlign w:val="bottom"/>
            <w:hideMark/>
          </w:tcPr>
          <w:p w14:paraId="65748E23"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Preces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slimnīcas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īpašumā</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esošajiem</w:t>
            </w:r>
            <w:proofErr w:type="spellEnd"/>
            <w:r w:rsidRPr="00CE3821">
              <w:rPr>
                <w:color w:val="000000"/>
                <w:sz w:val="22"/>
                <w:szCs w:val="22"/>
                <w:lang w:val="en-US" w:eastAsia="en-US"/>
              </w:rPr>
              <w:t xml:space="preserve"> VERMOP </w:t>
            </w:r>
            <w:proofErr w:type="spellStart"/>
            <w:r w:rsidRPr="00CE3821">
              <w:rPr>
                <w:color w:val="000000"/>
                <w:sz w:val="22"/>
                <w:szCs w:val="22"/>
                <w:lang w:val="en-US" w:eastAsia="en-US"/>
              </w:rPr>
              <w:t>divpusējiem</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mopu</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turētājiem</w:t>
            </w:r>
            <w:proofErr w:type="spellEnd"/>
          </w:p>
        </w:tc>
        <w:tc>
          <w:tcPr>
            <w:tcW w:w="1221" w:type="pct"/>
            <w:shd w:val="clear" w:color="auto" w:fill="F2F2F2" w:themeFill="background1" w:themeFillShade="F2"/>
          </w:tcPr>
          <w:p w14:paraId="437DC5A2" w14:textId="77777777" w:rsidR="00CE3821" w:rsidRPr="00CE3821" w:rsidRDefault="00CE3821" w:rsidP="005F041F">
            <w:pPr>
              <w:widowControl w:val="0"/>
              <w:autoSpaceDE w:val="0"/>
              <w:autoSpaceDN w:val="0"/>
              <w:adjustRightInd w:val="0"/>
              <w:rPr>
                <w:sz w:val="22"/>
                <w:szCs w:val="22"/>
              </w:rPr>
            </w:pPr>
            <w:r w:rsidRPr="00CE3821">
              <w:rPr>
                <w:sz w:val="22"/>
                <w:szCs w:val="22"/>
              </w:rPr>
              <w:t>SIA EMANSIS</w:t>
            </w:r>
          </w:p>
        </w:tc>
        <w:tc>
          <w:tcPr>
            <w:tcW w:w="1279" w:type="pct"/>
            <w:shd w:val="clear" w:color="auto" w:fill="F2F2F2" w:themeFill="background1" w:themeFillShade="F2"/>
          </w:tcPr>
          <w:p w14:paraId="4B13A76D" w14:textId="77777777" w:rsidR="00CE3821" w:rsidRPr="00CE3821" w:rsidRDefault="00CE3821" w:rsidP="005F041F">
            <w:pPr>
              <w:widowControl w:val="0"/>
              <w:pBdr>
                <w:bar w:val="single" w:sz="4" w:color="auto"/>
              </w:pBdr>
              <w:autoSpaceDE w:val="0"/>
              <w:autoSpaceDN w:val="0"/>
              <w:adjustRightInd w:val="0"/>
              <w:jc w:val="both"/>
              <w:rPr>
                <w:sz w:val="22"/>
                <w:szCs w:val="22"/>
              </w:rPr>
            </w:pPr>
            <w:r w:rsidRPr="00CE3821">
              <w:rPr>
                <w:sz w:val="22"/>
                <w:szCs w:val="22"/>
              </w:rPr>
              <w:t>1687.56</w:t>
            </w:r>
          </w:p>
        </w:tc>
      </w:tr>
      <w:tr w:rsidR="00CE3821" w:rsidRPr="00CE3821" w14:paraId="7FF95D71" w14:textId="77777777" w:rsidTr="00CE3821">
        <w:trPr>
          <w:trHeight w:val="20"/>
        </w:trPr>
        <w:tc>
          <w:tcPr>
            <w:tcW w:w="397" w:type="pct"/>
            <w:shd w:val="clear" w:color="auto" w:fill="auto"/>
            <w:noWrap/>
            <w:vAlign w:val="bottom"/>
            <w:hideMark/>
          </w:tcPr>
          <w:p w14:paraId="56DB12D3"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2</w:t>
            </w:r>
          </w:p>
        </w:tc>
        <w:tc>
          <w:tcPr>
            <w:tcW w:w="2103" w:type="pct"/>
            <w:shd w:val="clear" w:color="auto" w:fill="auto"/>
            <w:noWrap/>
            <w:vAlign w:val="bottom"/>
            <w:hideMark/>
          </w:tcPr>
          <w:p w14:paraId="2D6E1048"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Tīrīšanas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līdzekļi</w:t>
            </w:r>
            <w:proofErr w:type="spellEnd"/>
          </w:p>
        </w:tc>
        <w:tc>
          <w:tcPr>
            <w:tcW w:w="1221" w:type="pct"/>
          </w:tcPr>
          <w:p w14:paraId="727355A6" w14:textId="77777777" w:rsidR="00CE3821" w:rsidRPr="00CE3821" w:rsidRDefault="00CE3821" w:rsidP="005F041F">
            <w:pPr>
              <w:widowControl w:val="0"/>
              <w:autoSpaceDE w:val="0"/>
              <w:autoSpaceDN w:val="0"/>
              <w:adjustRightInd w:val="0"/>
              <w:rPr>
                <w:sz w:val="22"/>
                <w:szCs w:val="22"/>
              </w:rPr>
            </w:pPr>
            <w:r w:rsidRPr="00CE3821">
              <w:rPr>
                <w:sz w:val="22"/>
                <w:szCs w:val="22"/>
              </w:rPr>
              <w:t>SIA NMS RIGA</w:t>
            </w:r>
          </w:p>
        </w:tc>
        <w:tc>
          <w:tcPr>
            <w:tcW w:w="1279" w:type="pct"/>
          </w:tcPr>
          <w:p w14:paraId="4DA9A3AF"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1722.39</w:t>
            </w:r>
          </w:p>
        </w:tc>
      </w:tr>
      <w:tr w:rsidR="00CE3821" w:rsidRPr="00CE3821" w14:paraId="3D4E1360" w14:textId="77777777" w:rsidTr="00124BE5">
        <w:trPr>
          <w:trHeight w:val="20"/>
        </w:trPr>
        <w:tc>
          <w:tcPr>
            <w:tcW w:w="397" w:type="pct"/>
            <w:shd w:val="clear" w:color="auto" w:fill="F2F2F2" w:themeFill="background1" w:themeFillShade="F2"/>
            <w:noWrap/>
            <w:vAlign w:val="bottom"/>
            <w:hideMark/>
          </w:tcPr>
          <w:p w14:paraId="1C82B555"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3</w:t>
            </w:r>
          </w:p>
        </w:tc>
        <w:tc>
          <w:tcPr>
            <w:tcW w:w="2103" w:type="pct"/>
            <w:shd w:val="clear" w:color="auto" w:fill="F2F2F2" w:themeFill="background1" w:themeFillShade="F2"/>
            <w:noWrap/>
            <w:vAlign w:val="bottom"/>
            <w:hideMark/>
          </w:tcPr>
          <w:p w14:paraId="5D734C54"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Mazgāšanas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līdzekļi</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konvekcijas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krāsnij</w:t>
            </w:r>
            <w:proofErr w:type="spellEnd"/>
            <w:r w:rsidRPr="00CE3821">
              <w:rPr>
                <w:color w:val="000000"/>
                <w:sz w:val="22"/>
                <w:szCs w:val="22"/>
                <w:lang w:val="en-US" w:eastAsia="en-US"/>
              </w:rPr>
              <w:t xml:space="preserve"> "Rational"</w:t>
            </w:r>
          </w:p>
        </w:tc>
        <w:tc>
          <w:tcPr>
            <w:tcW w:w="1221" w:type="pct"/>
            <w:shd w:val="clear" w:color="auto" w:fill="F2F2F2" w:themeFill="background1" w:themeFillShade="F2"/>
            <w:vAlign w:val="bottom"/>
          </w:tcPr>
          <w:p w14:paraId="2B44132D" w14:textId="77777777" w:rsidR="00CE3821" w:rsidRPr="00CE3821" w:rsidRDefault="00CE3821" w:rsidP="005F041F">
            <w:pPr>
              <w:widowControl w:val="0"/>
              <w:autoSpaceDE w:val="0"/>
              <w:autoSpaceDN w:val="0"/>
              <w:adjustRightInd w:val="0"/>
              <w:jc w:val="both"/>
              <w:rPr>
                <w:color w:val="000000"/>
                <w:sz w:val="22"/>
                <w:szCs w:val="22"/>
              </w:rPr>
            </w:pPr>
            <w:r w:rsidRPr="00CE3821">
              <w:rPr>
                <w:color w:val="000000"/>
                <w:sz w:val="22"/>
                <w:szCs w:val="22"/>
              </w:rPr>
              <w:t>SIA “</w:t>
            </w:r>
            <w:proofErr w:type="spellStart"/>
            <w:r w:rsidRPr="00CE3821">
              <w:rPr>
                <w:color w:val="000000"/>
                <w:sz w:val="22"/>
                <w:szCs w:val="22"/>
              </w:rPr>
              <w:t>Rekal</w:t>
            </w:r>
            <w:proofErr w:type="spellEnd"/>
            <w:r w:rsidRPr="00CE3821">
              <w:rPr>
                <w:color w:val="000000"/>
                <w:sz w:val="22"/>
                <w:szCs w:val="22"/>
              </w:rPr>
              <w:t>”</w:t>
            </w:r>
          </w:p>
        </w:tc>
        <w:tc>
          <w:tcPr>
            <w:tcW w:w="1279" w:type="pct"/>
            <w:shd w:val="clear" w:color="auto" w:fill="F2F2F2" w:themeFill="background1" w:themeFillShade="F2"/>
          </w:tcPr>
          <w:p w14:paraId="6DA064F6"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209.00</w:t>
            </w:r>
          </w:p>
        </w:tc>
      </w:tr>
      <w:tr w:rsidR="00CE3821" w:rsidRPr="00CE3821" w14:paraId="31F77187" w14:textId="77777777" w:rsidTr="00CE3821">
        <w:trPr>
          <w:trHeight w:val="20"/>
        </w:trPr>
        <w:tc>
          <w:tcPr>
            <w:tcW w:w="397" w:type="pct"/>
            <w:shd w:val="clear" w:color="auto" w:fill="auto"/>
            <w:noWrap/>
            <w:vAlign w:val="bottom"/>
            <w:hideMark/>
          </w:tcPr>
          <w:p w14:paraId="774A13D4"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4</w:t>
            </w:r>
          </w:p>
        </w:tc>
        <w:tc>
          <w:tcPr>
            <w:tcW w:w="2103" w:type="pct"/>
            <w:shd w:val="clear" w:color="auto" w:fill="auto"/>
            <w:noWrap/>
            <w:vAlign w:val="bottom"/>
            <w:hideMark/>
          </w:tcPr>
          <w:p w14:paraId="6FE79091"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Mazgāšanas</w:t>
            </w:r>
            <w:proofErr w:type="spellEnd"/>
            <w:r w:rsidRPr="00CE3821">
              <w:rPr>
                <w:color w:val="000000"/>
                <w:sz w:val="22"/>
                <w:szCs w:val="22"/>
                <w:lang w:val="en-US" w:eastAsia="en-US"/>
              </w:rPr>
              <w:t xml:space="preserve"> un </w:t>
            </w:r>
            <w:proofErr w:type="spellStart"/>
            <w:r w:rsidRPr="00CE3821">
              <w:rPr>
                <w:color w:val="000000"/>
                <w:sz w:val="22"/>
                <w:szCs w:val="22"/>
                <w:lang w:val="en-US" w:eastAsia="en-US"/>
              </w:rPr>
              <w:t>tīrīšanas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līdzekļi</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virtuves</w:t>
            </w:r>
            <w:proofErr w:type="spellEnd"/>
            <w:r w:rsidRPr="00CE3821">
              <w:rPr>
                <w:color w:val="000000"/>
                <w:sz w:val="22"/>
                <w:szCs w:val="22"/>
                <w:lang w:val="en-US" w:eastAsia="en-US"/>
              </w:rPr>
              <w:t xml:space="preserve"> un </w:t>
            </w:r>
            <w:proofErr w:type="spellStart"/>
            <w:r w:rsidRPr="00CE3821">
              <w:rPr>
                <w:color w:val="000000"/>
                <w:sz w:val="22"/>
                <w:szCs w:val="22"/>
                <w:lang w:val="en-US" w:eastAsia="en-US"/>
              </w:rPr>
              <w:t>kafejnīcas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vajadzībām</w:t>
            </w:r>
            <w:proofErr w:type="spellEnd"/>
          </w:p>
        </w:tc>
        <w:tc>
          <w:tcPr>
            <w:tcW w:w="1221" w:type="pct"/>
          </w:tcPr>
          <w:p w14:paraId="21A201E4"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SIA EMANSIS</w:t>
            </w:r>
          </w:p>
        </w:tc>
        <w:tc>
          <w:tcPr>
            <w:tcW w:w="1279" w:type="pct"/>
          </w:tcPr>
          <w:p w14:paraId="5F2F3B01"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721.10</w:t>
            </w:r>
          </w:p>
        </w:tc>
      </w:tr>
      <w:tr w:rsidR="00CE3821" w:rsidRPr="00CE3821" w14:paraId="62D2323E" w14:textId="77777777" w:rsidTr="00124BE5">
        <w:trPr>
          <w:trHeight w:val="20"/>
        </w:trPr>
        <w:tc>
          <w:tcPr>
            <w:tcW w:w="397" w:type="pct"/>
            <w:shd w:val="clear" w:color="auto" w:fill="F2F2F2" w:themeFill="background1" w:themeFillShade="F2"/>
            <w:noWrap/>
            <w:vAlign w:val="bottom"/>
            <w:hideMark/>
          </w:tcPr>
          <w:p w14:paraId="7CCB0B8D"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5</w:t>
            </w:r>
          </w:p>
        </w:tc>
        <w:tc>
          <w:tcPr>
            <w:tcW w:w="2103" w:type="pct"/>
            <w:shd w:val="clear" w:color="auto" w:fill="F2F2F2" w:themeFill="background1" w:themeFillShade="F2"/>
            <w:noWrap/>
            <w:vAlign w:val="bottom"/>
            <w:hideMark/>
          </w:tcPr>
          <w:p w14:paraId="14871351"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Uzkopšanas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inventārs</w:t>
            </w:r>
            <w:proofErr w:type="spellEnd"/>
          </w:p>
        </w:tc>
        <w:tc>
          <w:tcPr>
            <w:tcW w:w="1221" w:type="pct"/>
            <w:shd w:val="clear" w:color="auto" w:fill="F2F2F2" w:themeFill="background1" w:themeFillShade="F2"/>
          </w:tcPr>
          <w:p w14:paraId="1CFCBDE7"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SIA NMS RIGA</w:t>
            </w:r>
          </w:p>
        </w:tc>
        <w:tc>
          <w:tcPr>
            <w:tcW w:w="1279" w:type="pct"/>
            <w:shd w:val="clear" w:color="auto" w:fill="F2F2F2" w:themeFill="background1" w:themeFillShade="F2"/>
          </w:tcPr>
          <w:p w14:paraId="270E1897"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507.15</w:t>
            </w:r>
          </w:p>
        </w:tc>
      </w:tr>
      <w:tr w:rsidR="00CE3821" w:rsidRPr="00CE3821" w14:paraId="2BC60A5B" w14:textId="77777777" w:rsidTr="00CE3821">
        <w:trPr>
          <w:trHeight w:val="20"/>
        </w:trPr>
        <w:tc>
          <w:tcPr>
            <w:tcW w:w="397" w:type="pct"/>
            <w:shd w:val="clear" w:color="auto" w:fill="auto"/>
            <w:noWrap/>
            <w:vAlign w:val="bottom"/>
            <w:hideMark/>
          </w:tcPr>
          <w:p w14:paraId="34DE691D" w14:textId="77777777" w:rsidR="00CE3821" w:rsidRPr="00CE3821" w:rsidRDefault="00CE3821" w:rsidP="005F041F">
            <w:pPr>
              <w:jc w:val="right"/>
              <w:rPr>
                <w:color w:val="000000"/>
                <w:sz w:val="22"/>
                <w:szCs w:val="22"/>
                <w:lang w:val="en-US" w:eastAsia="en-US"/>
              </w:rPr>
            </w:pPr>
            <w:r w:rsidRPr="00CE3821">
              <w:rPr>
                <w:color w:val="000000"/>
                <w:sz w:val="22"/>
                <w:szCs w:val="22"/>
                <w:lang w:val="en-US" w:eastAsia="en-US"/>
              </w:rPr>
              <w:t>7</w:t>
            </w:r>
          </w:p>
        </w:tc>
        <w:tc>
          <w:tcPr>
            <w:tcW w:w="2103" w:type="pct"/>
            <w:shd w:val="clear" w:color="auto" w:fill="auto"/>
            <w:noWrap/>
            <w:vAlign w:val="bottom"/>
            <w:hideMark/>
          </w:tcPr>
          <w:p w14:paraId="53734949" w14:textId="77777777" w:rsidR="00CE3821" w:rsidRPr="00CE3821" w:rsidRDefault="00CE3821" w:rsidP="005F041F">
            <w:pPr>
              <w:rPr>
                <w:color w:val="000000"/>
                <w:sz w:val="22"/>
                <w:szCs w:val="22"/>
                <w:lang w:val="en-US" w:eastAsia="en-US"/>
              </w:rPr>
            </w:pPr>
            <w:proofErr w:type="spellStart"/>
            <w:r w:rsidRPr="00CE3821">
              <w:rPr>
                <w:color w:val="000000"/>
                <w:sz w:val="22"/>
                <w:szCs w:val="22"/>
                <w:lang w:val="en-US" w:eastAsia="en-US"/>
              </w:rPr>
              <w:t>Santehnikas</w:t>
            </w:r>
            <w:proofErr w:type="spellEnd"/>
            <w:r w:rsidRPr="00CE3821">
              <w:rPr>
                <w:color w:val="000000"/>
                <w:sz w:val="22"/>
                <w:szCs w:val="22"/>
                <w:lang w:val="en-US" w:eastAsia="en-US"/>
              </w:rPr>
              <w:t xml:space="preserve"> </w:t>
            </w:r>
            <w:proofErr w:type="spellStart"/>
            <w:r w:rsidRPr="00CE3821">
              <w:rPr>
                <w:color w:val="000000"/>
                <w:sz w:val="22"/>
                <w:szCs w:val="22"/>
                <w:lang w:val="en-US" w:eastAsia="en-US"/>
              </w:rPr>
              <w:t>piederumi</w:t>
            </w:r>
            <w:proofErr w:type="spellEnd"/>
          </w:p>
        </w:tc>
        <w:tc>
          <w:tcPr>
            <w:tcW w:w="1221" w:type="pct"/>
          </w:tcPr>
          <w:p w14:paraId="08CF67DD"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SIA OPTIMERA LATVIA</w:t>
            </w:r>
          </w:p>
        </w:tc>
        <w:tc>
          <w:tcPr>
            <w:tcW w:w="1279" w:type="pct"/>
          </w:tcPr>
          <w:p w14:paraId="17D043CF" w14:textId="77777777" w:rsidR="00CE3821" w:rsidRPr="00CE3821" w:rsidRDefault="00CE3821" w:rsidP="005F041F">
            <w:pPr>
              <w:rPr>
                <w:color w:val="000000"/>
                <w:sz w:val="22"/>
                <w:szCs w:val="22"/>
                <w:lang w:val="en-US" w:eastAsia="en-US"/>
              </w:rPr>
            </w:pPr>
            <w:r w:rsidRPr="00CE3821">
              <w:rPr>
                <w:color w:val="000000"/>
                <w:sz w:val="22"/>
                <w:szCs w:val="22"/>
                <w:lang w:val="en-US" w:eastAsia="en-US"/>
              </w:rPr>
              <w:t>2074.22</w:t>
            </w:r>
          </w:p>
        </w:tc>
      </w:tr>
    </w:tbl>
    <w:p w14:paraId="7F1D789B" w14:textId="77777777" w:rsidR="00656978" w:rsidRDefault="00656978" w:rsidP="005F041F">
      <w:pPr>
        <w:widowControl w:val="0"/>
        <w:tabs>
          <w:tab w:val="left" w:pos="284"/>
          <w:tab w:val="left" w:pos="426"/>
        </w:tabs>
        <w:autoSpaceDE w:val="0"/>
        <w:autoSpaceDN w:val="0"/>
        <w:adjustRightInd w:val="0"/>
        <w:contextualSpacing/>
        <w:jc w:val="both"/>
        <w:rPr>
          <w:rFonts w:asciiTheme="minorHAnsi" w:hAnsiTheme="minorHAnsi" w:cstheme="minorHAnsi"/>
          <w:b/>
          <w:sz w:val="22"/>
          <w:szCs w:val="22"/>
          <w:u w:val="single"/>
        </w:rPr>
      </w:pPr>
    </w:p>
    <w:p w14:paraId="786E2115" w14:textId="3928C88F" w:rsidR="003A0CD7" w:rsidRPr="00037800" w:rsidRDefault="00DA3574" w:rsidP="005F041F">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sz w:val="22"/>
          <w:szCs w:val="22"/>
          <w:lang w:eastAsia="en-US"/>
        </w:rPr>
      </w:pPr>
      <w:r w:rsidRPr="00037800">
        <w:rPr>
          <w:rFonts w:asciiTheme="minorHAnsi" w:hAnsiTheme="minorHAnsi" w:cstheme="minorHAnsi"/>
          <w:b/>
          <w:sz w:val="22"/>
          <w:szCs w:val="22"/>
          <w:u w:val="single"/>
        </w:rPr>
        <w:t>Lēmuma pieņemšanas datums:</w:t>
      </w:r>
      <w:r w:rsidR="00BB14F6" w:rsidRPr="00037800">
        <w:rPr>
          <w:rFonts w:asciiTheme="minorHAnsi" w:hAnsiTheme="minorHAnsi" w:cstheme="minorHAnsi"/>
          <w:b/>
          <w:sz w:val="22"/>
          <w:szCs w:val="22"/>
          <w:u w:val="single"/>
        </w:rPr>
        <w:t xml:space="preserve"> </w:t>
      </w:r>
      <w:r w:rsidR="00CB2C0D">
        <w:rPr>
          <w:rFonts w:asciiTheme="minorHAnsi" w:hAnsiTheme="minorHAnsi" w:cstheme="minorHAnsi"/>
          <w:b/>
          <w:sz w:val="22"/>
          <w:szCs w:val="22"/>
          <w:u w:val="single"/>
        </w:rPr>
        <w:t>2.03.2017.</w:t>
      </w:r>
    </w:p>
    <w:p w14:paraId="4BCE60CB" w14:textId="77777777" w:rsidR="00656978" w:rsidRPr="00037800" w:rsidRDefault="00656978" w:rsidP="005F041F">
      <w:pPr>
        <w:widowControl w:val="0"/>
        <w:tabs>
          <w:tab w:val="left" w:pos="284"/>
          <w:tab w:val="left" w:pos="426"/>
        </w:tabs>
        <w:autoSpaceDE w:val="0"/>
        <w:autoSpaceDN w:val="0"/>
        <w:adjustRightInd w:val="0"/>
        <w:contextualSpacing/>
        <w:jc w:val="both"/>
        <w:rPr>
          <w:rFonts w:asciiTheme="minorHAnsi" w:eastAsia="Calibri" w:hAnsiTheme="minorHAnsi" w:cstheme="minorHAnsi"/>
          <w:sz w:val="22"/>
          <w:szCs w:val="22"/>
          <w:lang w:eastAsia="en-US"/>
        </w:rPr>
      </w:pPr>
    </w:p>
    <w:p w14:paraId="4439E0B0" w14:textId="77777777" w:rsidR="00BB14F6" w:rsidRPr="00037800" w:rsidRDefault="00CB365A" w:rsidP="005F041F">
      <w:pPr>
        <w:widowControl w:val="0"/>
        <w:numPr>
          <w:ilvl w:val="0"/>
          <w:numId w:val="3"/>
        </w:numPr>
        <w:tabs>
          <w:tab w:val="left" w:pos="284"/>
          <w:tab w:val="left" w:pos="426"/>
        </w:tabs>
        <w:autoSpaceDE w:val="0"/>
        <w:autoSpaceDN w:val="0"/>
        <w:adjustRightInd w:val="0"/>
        <w:ind w:left="0" w:firstLine="0"/>
        <w:contextualSpacing/>
        <w:jc w:val="both"/>
        <w:rPr>
          <w:rFonts w:asciiTheme="minorHAnsi" w:eastAsia="Calibri" w:hAnsiTheme="minorHAnsi" w:cstheme="minorHAnsi"/>
          <w:sz w:val="22"/>
          <w:szCs w:val="22"/>
          <w:lang w:eastAsia="en-US"/>
        </w:rPr>
      </w:pPr>
      <w:r w:rsidRPr="00037800">
        <w:rPr>
          <w:rFonts w:asciiTheme="minorHAnsi" w:eastAsia="Calibri" w:hAnsiTheme="minorHAnsi" w:cstheme="minorHAnsi"/>
          <w:sz w:val="22"/>
          <w:szCs w:val="22"/>
          <w:lang w:eastAsia="en-US"/>
        </w:rPr>
        <w:t xml:space="preserve"> </w:t>
      </w:r>
      <w:r w:rsidRPr="00037800">
        <w:rPr>
          <w:rFonts w:asciiTheme="minorHAnsi" w:eastAsia="Calibri" w:hAnsiTheme="minorHAnsi" w:cstheme="minorHAnsi"/>
          <w:b/>
          <w:sz w:val="22"/>
          <w:szCs w:val="22"/>
          <w:u w:val="single"/>
          <w:lang w:eastAsia="en-US"/>
        </w:rPr>
        <w:t>Cita informācija:</w:t>
      </w:r>
    </w:p>
    <w:p w14:paraId="0E975E71" w14:textId="6DFBC784" w:rsidR="003218B1" w:rsidRPr="00037800" w:rsidRDefault="003218B1" w:rsidP="006E2141">
      <w:pPr>
        <w:pStyle w:val="ListParagraph"/>
        <w:numPr>
          <w:ilvl w:val="1"/>
          <w:numId w:val="3"/>
        </w:numPr>
        <w:tabs>
          <w:tab w:val="left" w:pos="284"/>
          <w:tab w:val="left" w:pos="426"/>
        </w:tabs>
        <w:ind w:left="0" w:firstLine="0"/>
        <w:jc w:val="both"/>
        <w:rPr>
          <w:rFonts w:asciiTheme="minorHAnsi" w:eastAsia="Calibri" w:hAnsiTheme="minorHAnsi" w:cstheme="minorHAnsi"/>
          <w:sz w:val="22"/>
          <w:szCs w:val="22"/>
          <w:lang w:eastAsia="en-US"/>
        </w:rPr>
      </w:pPr>
      <w:r w:rsidRPr="00037800">
        <w:rPr>
          <w:rFonts w:asciiTheme="minorHAnsi" w:eastAsia="Calibri" w:hAnsiTheme="minorHAnsi" w:cstheme="minorHAnsi"/>
          <w:sz w:val="22"/>
          <w:szCs w:val="22"/>
          <w:lang w:eastAsia="en-US"/>
        </w:rPr>
        <w:t>iepirkuma daļa nr.</w:t>
      </w:r>
      <w:r w:rsidR="00CE3821">
        <w:rPr>
          <w:rFonts w:asciiTheme="minorHAnsi" w:eastAsia="Calibri" w:hAnsiTheme="minorHAnsi" w:cstheme="minorHAnsi"/>
          <w:sz w:val="22"/>
          <w:szCs w:val="22"/>
          <w:lang w:eastAsia="en-US"/>
        </w:rPr>
        <w:t>6</w:t>
      </w:r>
      <w:r w:rsidR="00CE3821" w:rsidRPr="00037800">
        <w:rPr>
          <w:rFonts w:asciiTheme="minorHAnsi" w:eastAsia="Calibri" w:hAnsiTheme="minorHAnsi" w:cstheme="minorHAnsi"/>
          <w:sz w:val="22"/>
          <w:szCs w:val="22"/>
          <w:lang w:eastAsia="en-US"/>
        </w:rPr>
        <w:t xml:space="preserve"> </w:t>
      </w:r>
      <w:r w:rsidR="00CE3821">
        <w:rPr>
          <w:rFonts w:asciiTheme="minorHAnsi" w:eastAsia="Calibri" w:hAnsiTheme="minorHAnsi" w:cstheme="minorHAnsi"/>
          <w:sz w:val="22"/>
          <w:szCs w:val="22"/>
          <w:lang w:eastAsia="en-US"/>
        </w:rPr>
        <w:t>–</w:t>
      </w:r>
      <w:r w:rsidRPr="00037800">
        <w:rPr>
          <w:rFonts w:asciiTheme="minorHAnsi" w:eastAsia="Calibri" w:hAnsiTheme="minorHAnsi" w:cstheme="minorHAnsi"/>
          <w:sz w:val="22"/>
          <w:szCs w:val="22"/>
          <w:lang w:eastAsia="en-US"/>
        </w:rPr>
        <w:t xml:space="preserve"> </w:t>
      </w:r>
      <w:r w:rsidR="00CE3821">
        <w:rPr>
          <w:rFonts w:asciiTheme="minorHAnsi" w:eastAsia="Calibri" w:hAnsiTheme="minorHAnsi" w:cstheme="minorHAnsi"/>
          <w:sz w:val="22"/>
          <w:szCs w:val="22"/>
          <w:lang w:eastAsia="en-US"/>
        </w:rPr>
        <w:t xml:space="preserve">“SPULDZES” </w:t>
      </w:r>
      <w:r w:rsidRPr="00037800">
        <w:rPr>
          <w:rFonts w:asciiTheme="minorHAnsi" w:eastAsia="Calibri" w:hAnsiTheme="minorHAnsi" w:cstheme="minorHAnsi"/>
          <w:sz w:val="22"/>
          <w:szCs w:val="22"/>
          <w:lang w:eastAsia="en-US"/>
        </w:rPr>
        <w:t xml:space="preserve"> tika </w:t>
      </w:r>
      <w:r w:rsidR="006E2141">
        <w:rPr>
          <w:rFonts w:asciiTheme="minorHAnsi" w:eastAsia="Calibri" w:hAnsiTheme="minorHAnsi" w:cstheme="minorHAnsi"/>
          <w:sz w:val="22"/>
          <w:szCs w:val="22"/>
          <w:lang w:eastAsia="en-US"/>
        </w:rPr>
        <w:t>izbeigta bez rezultāta</w:t>
      </w:r>
      <w:r w:rsidRPr="00037800">
        <w:rPr>
          <w:rFonts w:asciiTheme="minorHAnsi" w:eastAsia="Calibri" w:hAnsiTheme="minorHAnsi" w:cstheme="minorHAnsi"/>
          <w:sz w:val="22"/>
          <w:szCs w:val="22"/>
          <w:lang w:eastAsia="en-US"/>
        </w:rPr>
        <w:t>,  jo šajā iepirkuma daļā nav iesniegti piedāvājumi.</w:t>
      </w:r>
    </w:p>
    <w:p w14:paraId="63FC9C8B" w14:textId="04DF0F0F" w:rsidR="00DA3574" w:rsidRPr="00037800" w:rsidRDefault="00DA3574" w:rsidP="005F041F">
      <w:pPr>
        <w:pStyle w:val="ListParagraph"/>
        <w:widowControl w:val="0"/>
        <w:numPr>
          <w:ilvl w:val="1"/>
          <w:numId w:val="3"/>
        </w:numPr>
        <w:tabs>
          <w:tab w:val="left" w:pos="0"/>
          <w:tab w:val="left" w:pos="284"/>
          <w:tab w:val="left" w:pos="426"/>
          <w:tab w:val="left" w:pos="851"/>
        </w:tabs>
        <w:autoSpaceDE w:val="0"/>
        <w:autoSpaceDN w:val="0"/>
        <w:adjustRightInd w:val="0"/>
        <w:ind w:left="0" w:firstLine="0"/>
        <w:jc w:val="both"/>
        <w:rPr>
          <w:rFonts w:asciiTheme="minorHAnsi" w:eastAsia="Calibri" w:hAnsiTheme="minorHAnsi" w:cstheme="minorHAnsi"/>
          <w:sz w:val="22"/>
          <w:szCs w:val="22"/>
          <w:lang w:eastAsia="en-US"/>
        </w:rPr>
      </w:pPr>
      <w:r w:rsidRPr="00037800">
        <w:rPr>
          <w:rFonts w:asciiTheme="minorHAnsi" w:eastAsia="Calibri" w:hAnsiTheme="minorHAnsi" w:cstheme="minorHAnsi"/>
          <w:sz w:val="22"/>
          <w:szCs w:val="22"/>
          <w:lang w:eastAsia="en-US"/>
        </w:rPr>
        <w:t>Saskaņā ar Publisko iepirkumu likuma 8.</w:t>
      </w:r>
      <w:r w:rsidRPr="00037800">
        <w:rPr>
          <w:rFonts w:asciiTheme="minorHAnsi" w:eastAsia="Calibri" w:hAnsiTheme="minorHAnsi" w:cstheme="minorHAnsi"/>
          <w:sz w:val="22"/>
          <w:szCs w:val="22"/>
          <w:vertAlign w:val="superscript"/>
          <w:lang w:eastAsia="en-US"/>
        </w:rPr>
        <w:t>2</w:t>
      </w:r>
      <w:r w:rsidRPr="00037800">
        <w:rPr>
          <w:rFonts w:asciiTheme="minorHAnsi" w:eastAsia="Calibri" w:hAnsiTheme="minorHAnsi" w:cstheme="minorHAnsi"/>
          <w:sz w:val="22"/>
          <w:szCs w:val="22"/>
          <w:lang w:eastAsia="en-US"/>
        </w:rPr>
        <w:t>panta astoņpadsmito daļu, pretendents, kas iesniedzis piedāvājumu iepirkumā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3B13A8B1" w14:textId="77777777" w:rsidR="00DA3574" w:rsidRPr="00656978" w:rsidRDefault="00DA3574" w:rsidP="005F041F">
      <w:pPr>
        <w:tabs>
          <w:tab w:val="left" w:pos="18"/>
        </w:tabs>
        <w:contextualSpacing/>
        <w:rPr>
          <w:rFonts w:asciiTheme="minorHAnsi" w:eastAsia="Calibri" w:hAnsiTheme="minorHAnsi" w:cstheme="minorHAnsi"/>
          <w:sz w:val="22"/>
          <w:szCs w:val="22"/>
          <w:lang w:eastAsia="en-US"/>
        </w:rPr>
      </w:pPr>
    </w:p>
    <w:p w14:paraId="29C0E5C2" w14:textId="77777777" w:rsidR="004677A3" w:rsidRPr="00656978" w:rsidRDefault="004677A3" w:rsidP="005F041F">
      <w:pPr>
        <w:tabs>
          <w:tab w:val="left" w:pos="18"/>
        </w:tabs>
        <w:contextualSpacing/>
        <w:rPr>
          <w:rFonts w:asciiTheme="minorHAnsi" w:eastAsia="Calibri" w:hAnsiTheme="minorHAnsi" w:cstheme="minorHAnsi"/>
          <w:sz w:val="22"/>
          <w:szCs w:val="22"/>
          <w:lang w:eastAsia="en-US"/>
        </w:rPr>
      </w:pPr>
    </w:p>
    <w:p w14:paraId="3BE3E080" w14:textId="77777777" w:rsidR="004677A3" w:rsidRPr="00656978" w:rsidRDefault="004677A3" w:rsidP="005F041F">
      <w:pPr>
        <w:tabs>
          <w:tab w:val="left" w:pos="18"/>
        </w:tabs>
        <w:contextualSpacing/>
        <w:rPr>
          <w:rFonts w:asciiTheme="minorHAnsi" w:eastAsia="Calibri" w:hAnsiTheme="minorHAnsi" w:cstheme="minorHAnsi"/>
          <w:sz w:val="22"/>
          <w:szCs w:val="22"/>
          <w:lang w:eastAsia="en-US"/>
        </w:rPr>
      </w:pPr>
    </w:p>
    <w:sectPr w:rsidR="004677A3" w:rsidRPr="00656978" w:rsidSect="00B72D4C">
      <w:footerReference w:type="default" r:id="rId9"/>
      <w:pgSz w:w="11907" w:h="16840" w:code="9"/>
      <w:pgMar w:top="1134" w:right="1134" w:bottom="1134" w:left="1701" w:header="709" w:footer="709" w:gutter="0"/>
      <w:paperSrc w:first="7" w:other="7"/>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222BF6" w15:done="0"/>
  <w15:commentEx w15:paraId="4ACD2081" w15:paraIdParent="24222B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47C76" w14:textId="77777777" w:rsidR="0098475D" w:rsidRDefault="0098475D">
      <w:r>
        <w:separator/>
      </w:r>
    </w:p>
  </w:endnote>
  <w:endnote w:type="continuationSeparator" w:id="0">
    <w:p w14:paraId="588AEF88" w14:textId="77777777" w:rsidR="0098475D" w:rsidRDefault="00984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654634"/>
      <w:docPartObj>
        <w:docPartGallery w:val="Page Numbers (Bottom of Page)"/>
        <w:docPartUnique/>
      </w:docPartObj>
    </w:sdtPr>
    <w:sdtEndPr>
      <w:rPr>
        <w:noProof/>
      </w:rPr>
    </w:sdtEndPr>
    <w:sdtContent>
      <w:p w14:paraId="515A30F9" w14:textId="36D8243C" w:rsidR="00124BE5" w:rsidRDefault="00124BE5">
        <w:pPr>
          <w:pStyle w:val="Footer"/>
          <w:jc w:val="center"/>
        </w:pPr>
        <w:r>
          <w:fldChar w:fldCharType="begin"/>
        </w:r>
        <w:r>
          <w:instrText xml:space="preserve"> PAGE   \* MERGEFORMAT </w:instrText>
        </w:r>
        <w:r>
          <w:fldChar w:fldCharType="separate"/>
        </w:r>
        <w:r w:rsidR="00AE6C3B">
          <w:rPr>
            <w:noProof/>
          </w:rPr>
          <w:t>2</w:t>
        </w:r>
        <w:r>
          <w:rPr>
            <w:noProof/>
          </w:rPr>
          <w:fldChar w:fldCharType="end"/>
        </w:r>
      </w:p>
    </w:sdtContent>
  </w:sdt>
  <w:p w14:paraId="70C54679" w14:textId="77777777" w:rsidR="00AD2BB2" w:rsidRDefault="009847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49D30" w14:textId="77777777" w:rsidR="0098475D" w:rsidRDefault="0098475D">
      <w:r>
        <w:separator/>
      </w:r>
    </w:p>
  </w:footnote>
  <w:footnote w:type="continuationSeparator" w:id="0">
    <w:p w14:paraId="23BA14D0" w14:textId="77777777" w:rsidR="0098475D" w:rsidRDefault="0098475D">
      <w:r>
        <w:continuationSeparator/>
      </w:r>
    </w:p>
  </w:footnote>
  <w:footnote w:id="1">
    <w:p w14:paraId="7A3A69D7" w14:textId="76545DC4" w:rsidR="00CE3821" w:rsidRDefault="00CE3821">
      <w:pPr>
        <w:pStyle w:val="FootnoteText"/>
      </w:pPr>
      <w:r>
        <w:rPr>
          <w:rStyle w:val="FootnoteReference"/>
        </w:rPr>
        <w:footnoteRef/>
      </w:r>
      <w:r>
        <w:t xml:space="preserve"> </w:t>
      </w:r>
      <w:r w:rsidRPr="00CE3821">
        <w:t>Komisija veica aritmētisko kļūdu pārrēķinu un vērtējot ņēma vērā aritmētisko kļūdu labojuma rezultātus.</w:t>
      </w:r>
    </w:p>
  </w:footnote>
  <w:footnote w:id="2">
    <w:p w14:paraId="54A110A2" w14:textId="010398E9" w:rsidR="00CE3821" w:rsidRDefault="00CE3821">
      <w:pPr>
        <w:pStyle w:val="FootnoteText"/>
      </w:pPr>
      <w:r>
        <w:rPr>
          <w:rStyle w:val="FootnoteReference"/>
        </w:rPr>
        <w:footnoteRef/>
      </w:r>
      <w:r>
        <w:t xml:space="preserve"> </w:t>
      </w:r>
      <w:r w:rsidRPr="00CE3821">
        <w:t>Komisija veica aritmētisko kļūdu pārrēķinu un vērtējot ņēma vērā aritmētisko kļūdu labojuma rezultātus.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362"/>
    <w:multiLevelType w:val="multilevel"/>
    <w:tmpl w:val="FFCE467E"/>
    <w:lvl w:ilvl="0">
      <w:start w:val="5"/>
      <w:numFmt w:val="none"/>
      <w:lvlText w:val="5"/>
      <w:lvlJc w:val="left"/>
      <w:pPr>
        <w:ind w:left="360" w:hanging="360"/>
      </w:pPr>
      <w:rPr>
        <w:rFonts w:hint="default"/>
      </w:rPr>
    </w:lvl>
    <w:lvl w:ilvl="1">
      <w:start w:val="1"/>
      <w:numFmt w:val="decimal"/>
      <w:lvlText w:val="%15.%2."/>
      <w:lvlJc w:val="left"/>
      <w:pPr>
        <w:ind w:left="360" w:hanging="360"/>
      </w:pPr>
      <w:rPr>
        <w:rFonts w:hint="default"/>
      </w:rPr>
    </w:lvl>
    <w:lvl w:ilvl="2">
      <w:start w:val="1"/>
      <w:numFmt w:val="decimal"/>
      <w:lvlText w:val="%1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763190"/>
    <w:multiLevelType w:val="hybridMultilevel"/>
    <w:tmpl w:val="360A92C0"/>
    <w:lvl w:ilvl="0" w:tplc="57C829F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E65CA"/>
    <w:multiLevelType w:val="hybridMultilevel"/>
    <w:tmpl w:val="25A23EAA"/>
    <w:lvl w:ilvl="0" w:tplc="6ADA99D6">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nsid w:val="1ED22590"/>
    <w:multiLevelType w:val="hybridMultilevel"/>
    <w:tmpl w:val="9D66F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93C1F"/>
    <w:multiLevelType w:val="multilevel"/>
    <w:tmpl w:val="5CB4FACA"/>
    <w:lvl w:ilvl="0">
      <w:start w:val="1"/>
      <w:numFmt w:val="decimal"/>
      <w:lvlText w:val="%1."/>
      <w:lvlJc w:val="left"/>
      <w:pPr>
        <w:ind w:left="1080" w:hanging="360"/>
      </w:pPr>
      <w:rPr>
        <w:b/>
      </w:rPr>
    </w:lvl>
    <w:lvl w:ilvl="1">
      <w:start w:val="1"/>
      <w:numFmt w:val="decimal"/>
      <w:isLgl/>
      <w:lvlText w:val="%1.%2."/>
      <w:lvlJc w:val="left"/>
      <w:pPr>
        <w:ind w:left="1080" w:hanging="36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2700738E"/>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813FC2"/>
    <w:multiLevelType w:val="hybridMultilevel"/>
    <w:tmpl w:val="72BE4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2B563E"/>
    <w:multiLevelType w:val="hybridMultilevel"/>
    <w:tmpl w:val="9B547A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3B73BA0"/>
    <w:multiLevelType w:val="multilevel"/>
    <w:tmpl w:val="C0F88230"/>
    <w:styleLink w:val="Style1711"/>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D12018F"/>
    <w:multiLevelType w:val="hybridMultilevel"/>
    <w:tmpl w:val="F7761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045F1B"/>
    <w:multiLevelType w:val="hybridMultilevel"/>
    <w:tmpl w:val="D7EAE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262DB3"/>
    <w:multiLevelType w:val="hybridMultilevel"/>
    <w:tmpl w:val="B9963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A2666F"/>
    <w:multiLevelType w:val="hybridMultilevel"/>
    <w:tmpl w:val="340C3BA6"/>
    <w:lvl w:ilvl="0" w:tplc="93CED97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E2AE0"/>
    <w:multiLevelType w:val="multilevel"/>
    <w:tmpl w:val="40EAB228"/>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num w:numId="1">
    <w:abstractNumId w:val="8"/>
  </w:num>
  <w:num w:numId="2">
    <w:abstractNumId w:val="0"/>
  </w:num>
  <w:num w:numId="3">
    <w:abstractNumId w:val="4"/>
  </w:num>
  <w:num w:numId="4">
    <w:abstractNumId w:val="7"/>
  </w:num>
  <w:num w:numId="5">
    <w:abstractNumId w:val="6"/>
  </w:num>
  <w:num w:numId="6">
    <w:abstractNumId w:val="2"/>
  </w:num>
  <w:num w:numId="7">
    <w:abstractNumId w:val="12"/>
  </w:num>
  <w:num w:numId="8">
    <w:abstractNumId w:val="3"/>
  </w:num>
  <w:num w:numId="9">
    <w:abstractNumId w:val="13"/>
  </w:num>
  <w:num w:numId="10">
    <w:abstractNumId w:val="11"/>
  </w:num>
  <w:num w:numId="11">
    <w:abstractNumId w:val="10"/>
  </w:num>
  <w:num w:numId="12">
    <w:abstractNumId w:val="9"/>
  </w:num>
  <w:num w:numId="13">
    <w:abstractNumId w:val="5"/>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FE"/>
    <w:rsid w:val="00004D78"/>
    <w:rsid w:val="0001014D"/>
    <w:rsid w:val="00022899"/>
    <w:rsid w:val="00037800"/>
    <w:rsid w:val="0004784A"/>
    <w:rsid w:val="00073F78"/>
    <w:rsid w:val="000971E2"/>
    <w:rsid w:val="000A7ED1"/>
    <w:rsid w:val="000B015C"/>
    <w:rsid w:val="000B0511"/>
    <w:rsid w:val="00124BE5"/>
    <w:rsid w:val="0014238D"/>
    <w:rsid w:val="00154ABB"/>
    <w:rsid w:val="0016406E"/>
    <w:rsid w:val="001676CC"/>
    <w:rsid w:val="001A3D5B"/>
    <w:rsid w:val="001E0D56"/>
    <w:rsid w:val="001E3CA3"/>
    <w:rsid w:val="001F1851"/>
    <w:rsid w:val="001F664D"/>
    <w:rsid w:val="00210273"/>
    <w:rsid w:val="00262626"/>
    <w:rsid w:val="002749C8"/>
    <w:rsid w:val="002A6CB0"/>
    <w:rsid w:val="002A716A"/>
    <w:rsid w:val="002C176E"/>
    <w:rsid w:val="002C1994"/>
    <w:rsid w:val="002C43BF"/>
    <w:rsid w:val="002D52A0"/>
    <w:rsid w:val="002F7F04"/>
    <w:rsid w:val="00306B3C"/>
    <w:rsid w:val="003111A0"/>
    <w:rsid w:val="003218B1"/>
    <w:rsid w:val="00336D11"/>
    <w:rsid w:val="0034542E"/>
    <w:rsid w:val="00371C6E"/>
    <w:rsid w:val="00377302"/>
    <w:rsid w:val="003820BE"/>
    <w:rsid w:val="003830EA"/>
    <w:rsid w:val="003A0CD7"/>
    <w:rsid w:val="003B266F"/>
    <w:rsid w:val="003B2FC6"/>
    <w:rsid w:val="003D5A41"/>
    <w:rsid w:val="003D6198"/>
    <w:rsid w:val="003D775C"/>
    <w:rsid w:val="004226B2"/>
    <w:rsid w:val="00446F61"/>
    <w:rsid w:val="004677A3"/>
    <w:rsid w:val="00483152"/>
    <w:rsid w:val="00486261"/>
    <w:rsid w:val="004D6881"/>
    <w:rsid w:val="004E001A"/>
    <w:rsid w:val="004E043D"/>
    <w:rsid w:val="00507B77"/>
    <w:rsid w:val="00523801"/>
    <w:rsid w:val="00576A3B"/>
    <w:rsid w:val="00577338"/>
    <w:rsid w:val="0058511B"/>
    <w:rsid w:val="005B61AE"/>
    <w:rsid w:val="005D1780"/>
    <w:rsid w:val="005D64E1"/>
    <w:rsid w:val="005E7189"/>
    <w:rsid w:val="005F041F"/>
    <w:rsid w:val="005F6DFA"/>
    <w:rsid w:val="006002FE"/>
    <w:rsid w:val="00611D20"/>
    <w:rsid w:val="00612821"/>
    <w:rsid w:val="00624D7C"/>
    <w:rsid w:val="00627E49"/>
    <w:rsid w:val="006521E6"/>
    <w:rsid w:val="00656978"/>
    <w:rsid w:val="006A7219"/>
    <w:rsid w:val="006E2141"/>
    <w:rsid w:val="006E33CB"/>
    <w:rsid w:val="007030E2"/>
    <w:rsid w:val="00713179"/>
    <w:rsid w:val="0078343F"/>
    <w:rsid w:val="0078702E"/>
    <w:rsid w:val="007A076C"/>
    <w:rsid w:val="007A2D46"/>
    <w:rsid w:val="007B42FF"/>
    <w:rsid w:val="007D7665"/>
    <w:rsid w:val="007F585D"/>
    <w:rsid w:val="00812593"/>
    <w:rsid w:val="00815AA0"/>
    <w:rsid w:val="00824A27"/>
    <w:rsid w:val="008357D6"/>
    <w:rsid w:val="0084111C"/>
    <w:rsid w:val="008962B8"/>
    <w:rsid w:val="00896AF4"/>
    <w:rsid w:val="008A284A"/>
    <w:rsid w:val="008F5E65"/>
    <w:rsid w:val="009069C8"/>
    <w:rsid w:val="009179F5"/>
    <w:rsid w:val="00937A34"/>
    <w:rsid w:val="00946AA3"/>
    <w:rsid w:val="00956943"/>
    <w:rsid w:val="0096323B"/>
    <w:rsid w:val="00975EF2"/>
    <w:rsid w:val="0098475D"/>
    <w:rsid w:val="009D77FD"/>
    <w:rsid w:val="009E0AFF"/>
    <w:rsid w:val="009F7C60"/>
    <w:rsid w:val="00A052A0"/>
    <w:rsid w:val="00A13B4F"/>
    <w:rsid w:val="00A17C16"/>
    <w:rsid w:val="00A348E0"/>
    <w:rsid w:val="00A35519"/>
    <w:rsid w:val="00A522AE"/>
    <w:rsid w:val="00A71E00"/>
    <w:rsid w:val="00AB63ED"/>
    <w:rsid w:val="00AD0FFA"/>
    <w:rsid w:val="00AE2B58"/>
    <w:rsid w:val="00AE6C3B"/>
    <w:rsid w:val="00B3470C"/>
    <w:rsid w:val="00B72D4C"/>
    <w:rsid w:val="00B8388E"/>
    <w:rsid w:val="00B84F68"/>
    <w:rsid w:val="00B91B9C"/>
    <w:rsid w:val="00BB14F6"/>
    <w:rsid w:val="00BB3031"/>
    <w:rsid w:val="00C304CC"/>
    <w:rsid w:val="00C418F1"/>
    <w:rsid w:val="00C70A30"/>
    <w:rsid w:val="00CB2C0D"/>
    <w:rsid w:val="00CB365A"/>
    <w:rsid w:val="00CC7CFE"/>
    <w:rsid w:val="00CD54BA"/>
    <w:rsid w:val="00CE3821"/>
    <w:rsid w:val="00D2473A"/>
    <w:rsid w:val="00D35355"/>
    <w:rsid w:val="00D52F7B"/>
    <w:rsid w:val="00D55EB3"/>
    <w:rsid w:val="00D94238"/>
    <w:rsid w:val="00DA3574"/>
    <w:rsid w:val="00DC2F89"/>
    <w:rsid w:val="00DE63C2"/>
    <w:rsid w:val="00DE6B89"/>
    <w:rsid w:val="00DF7BBD"/>
    <w:rsid w:val="00E1038B"/>
    <w:rsid w:val="00E13403"/>
    <w:rsid w:val="00E37759"/>
    <w:rsid w:val="00E7409F"/>
    <w:rsid w:val="00EE42AA"/>
    <w:rsid w:val="00EF41C1"/>
    <w:rsid w:val="00F15E0B"/>
    <w:rsid w:val="00F5258C"/>
    <w:rsid w:val="00FD59DD"/>
    <w:rsid w:val="00FF4F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C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124BE5"/>
    <w:pPr>
      <w:tabs>
        <w:tab w:val="center" w:pos="4680"/>
        <w:tab w:val="right" w:pos="9360"/>
      </w:tabs>
    </w:pPr>
  </w:style>
  <w:style w:type="character" w:customStyle="1" w:styleId="HeaderChar">
    <w:name w:val="Header Char"/>
    <w:basedOn w:val="DefaultParagraphFont"/>
    <w:link w:val="Header"/>
    <w:uiPriority w:val="99"/>
    <w:rsid w:val="00124BE5"/>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FE"/>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CFE"/>
    <w:pPr>
      <w:tabs>
        <w:tab w:val="center" w:pos="4153"/>
        <w:tab w:val="right" w:pos="8306"/>
      </w:tabs>
    </w:pPr>
  </w:style>
  <w:style w:type="character" w:customStyle="1" w:styleId="FooterChar">
    <w:name w:val="Footer Char"/>
    <w:basedOn w:val="DefaultParagraphFont"/>
    <w:link w:val="Footer"/>
    <w:uiPriority w:val="99"/>
    <w:rsid w:val="00CC7CFE"/>
    <w:rPr>
      <w:rFonts w:eastAsia="Times New Roman" w:cs="Times New Roman"/>
      <w:sz w:val="24"/>
      <w:szCs w:val="24"/>
      <w:lang w:eastAsia="lv-LV"/>
    </w:rPr>
  </w:style>
  <w:style w:type="paragraph" w:styleId="ListParagraph">
    <w:name w:val="List Paragraph"/>
    <w:basedOn w:val="Normal"/>
    <w:uiPriority w:val="34"/>
    <w:qFormat/>
    <w:rsid w:val="00CC7CFE"/>
    <w:pPr>
      <w:ind w:left="720"/>
      <w:contextualSpacing/>
    </w:pPr>
  </w:style>
  <w:style w:type="paragraph" w:styleId="BodyText3">
    <w:name w:val="Body Text 3"/>
    <w:basedOn w:val="Normal"/>
    <w:link w:val="BodyText3Char"/>
    <w:rsid w:val="00CC7CFE"/>
    <w:pPr>
      <w:jc w:val="center"/>
    </w:pPr>
    <w:rPr>
      <w:b/>
      <w:sz w:val="28"/>
      <w:szCs w:val="32"/>
      <w:lang w:eastAsia="en-US"/>
    </w:rPr>
  </w:style>
  <w:style w:type="character" w:customStyle="1" w:styleId="BodyText3Char">
    <w:name w:val="Body Text 3 Char"/>
    <w:basedOn w:val="DefaultParagraphFont"/>
    <w:link w:val="BodyText3"/>
    <w:rsid w:val="00CC7CFE"/>
    <w:rPr>
      <w:rFonts w:eastAsia="Times New Roman" w:cs="Times New Roman"/>
      <w:b/>
      <w:szCs w:val="32"/>
    </w:rPr>
  </w:style>
  <w:style w:type="numbering" w:customStyle="1" w:styleId="Style1711">
    <w:name w:val="Style1711"/>
    <w:uiPriority w:val="99"/>
    <w:rsid w:val="00CC7CFE"/>
    <w:pPr>
      <w:numPr>
        <w:numId w:val="1"/>
      </w:numPr>
    </w:pPr>
  </w:style>
  <w:style w:type="paragraph" w:styleId="BalloonText">
    <w:name w:val="Balloon Text"/>
    <w:basedOn w:val="Normal"/>
    <w:link w:val="BalloonTextChar"/>
    <w:uiPriority w:val="99"/>
    <w:semiHidden/>
    <w:unhideWhenUsed/>
    <w:rsid w:val="003773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302"/>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7302"/>
    <w:rPr>
      <w:sz w:val="16"/>
      <w:szCs w:val="16"/>
    </w:rPr>
  </w:style>
  <w:style w:type="paragraph" w:styleId="CommentText">
    <w:name w:val="annotation text"/>
    <w:basedOn w:val="Normal"/>
    <w:link w:val="CommentTextChar"/>
    <w:uiPriority w:val="99"/>
    <w:semiHidden/>
    <w:unhideWhenUsed/>
    <w:rsid w:val="00377302"/>
    <w:rPr>
      <w:sz w:val="20"/>
      <w:szCs w:val="20"/>
    </w:rPr>
  </w:style>
  <w:style w:type="character" w:customStyle="1" w:styleId="CommentTextChar">
    <w:name w:val="Comment Text Char"/>
    <w:basedOn w:val="DefaultParagraphFont"/>
    <w:link w:val="CommentText"/>
    <w:uiPriority w:val="99"/>
    <w:semiHidden/>
    <w:rsid w:val="0037730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7302"/>
    <w:rPr>
      <w:b/>
      <w:bCs/>
    </w:rPr>
  </w:style>
  <w:style w:type="character" w:customStyle="1" w:styleId="CommentSubjectChar">
    <w:name w:val="Comment Subject Char"/>
    <w:basedOn w:val="CommentTextChar"/>
    <w:link w:val="CommentSubject"/>
    <w:uiPriority w:val="99"/>
    <w:semiHidden/>
    <w:rsid w:val="00377302"/>
    <w:rPr>
      <w:rFonts w:eastAsia="Times New Roman" w:cs="Times New Roman"/>
      <w:b/>
      <w:bCs/>
      <w:sz w:val="20"/>
      <w:szCs w:val="20"/>
      <w:lang w:eastAsia="lv-LV"/>
    </w:rPr>
  </w:style>
  <w:style w:type="character" w:styleId="Hyperlink">
    <w:name w:val="Hyperlink"/>
    <w:basedOn w:val="DefaultParagraphFont"/>
    <w:uiPriority w:val="99"/>
    <w:unhideWhenUsed/>
    <w:rsid w:val="0016406E"/>
    <w:rPr>
      <w:color w:val="0000FF"/>
      <w:u w:val="single"/>
    </w:rPr>
  </w:style>
  <w:style w:type="paragraph" w:styleId="FootnoteText">
    <w:name w:val="footnote text"/>
    <w:basedOn w:val="Normal"/>
    <w:link w:val="FootnoteTextChar"/>
    <w:uiPriority w:val="99"/>
    <w:semiHidden/>
    <w:unhideWhenUsed/>
    <w:rsid w:val="00975EF2"/>
    <w:rPr>
      <w:sz w:val="20"/>
      <w:szCs w:val="20"/>
    </w:rPr>
  </w:style>
  <w:style w:type="character" w:customStyle="1" w:styleId="FootnoteTextChar">
    <w:name w:val="Footnote Text Char"/>
    <w:basedOn w:val="DefaultParagraphFont"/>
    <w:link w:val="FootnoteText"/>
    <w:uiPriority w:val="99"/>
    <w:semiHidden/>
    <w:rsid w:val="00975EF2"/>
    <w:rPr>
      <w:rFonts w:eastAsia="Times New Roman" w:cs="Times New Roman"/>
      <w:sz w:val="20"/>
      <w:szCs w:val="20"/>
      <w:lang w:eastAsia="lv-LV"/>
    </w:rPr>
  </w:style>
  <w:style w:type="character" w:styleId="FootnoteReference">
    <w:name w:val="footnote reference"/>
    <w:basedOn w:val="DefaultParagraphFont"/>
    <w:unhideWhenUsed/>
    <w:rsid w:val="00975EF2"/>
    <w:rPr>
      <w:vertAlign w:val="superscript"/>
    </w:rPr>
  </w:style>
  <w:style w:type="paragraph" w:styleId="BodyText2">
    <w:name w:val="Body Text 2"/>
    <w:basedOn w:val="Normal"/>
    <w:link w:val="BodyText2Char"/>
    <w:uiPriority w:val="99"/>
    <w:semiHidden/>
    <w:unhideWhenUsed/>
    <w:rsid w:val="00BB14F6"/>
    <w:pPr>
      <w:spacing w:after="120" w:line="480" w:lineRule="auto"/>
    </w:pPr>
  </w:style>
  <w:style w:type="character" w:customStyle="1" w:styleId="BodyText2Char">
    <w:name w:val="Body Text 2 Char"/>
    <w:basedOn w:val="DefaultParagraphFont"/>
    <w:link w:val="BodyText2"/>
    <w:uiPriority w:val="99"/>
    <w:semiHidden/>
    <w:rsid w:val="00BB14F6"/>
    <w:rPr>
      <w:rFonts w:eastAsia="Times New Roman" w:cs="Times New Roman"/>
      <w:sz w:val="24"/>
      <w:szCs w:val="24"/>
      <w:lang w:eastAsia="lv-LV"/>
    </w:rPr>
  </w:style>
  <w:style w:type="paragraph" w:styleId="Header">
    <w:name w:val="header"/>
    <w:basedOn w:val="Normal"/>
    <w:link w:val="HeaderChar"/>
    <w:uiPriority w:val="99"/>
    <w:unhideWhenUsed/>
    <w:rsid w:val="00124BE5"/>
    <w:pPr>
      <w:tabs>
        <w:tab w:val="center" w:pos="4680"/>
        <w:tab w:val="right" w:pos="9360"/>
      </w:tabs>
    </w:pPr>
  </w:style>
  <w:style w:type="character" w:customStyle="1" w:styleId="HeaderChar">
    <w:name w:val="Header Char"/>
    <w:basedOn w:val="DefaultParagraphFont"/>
    <w:link w:val="Header"/>
    <w:uiPriority w:val="99"/>
    <w:rsid w:val="00124BE5"/>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D185-00D0-407F-A6F4-A2763F22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Finanšu ministrija</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Ilva</dc:creator>
  <cp:lastModifiedBy>Ilva Dreimane</cp:lastModifiedBy>
  <cp:revision>3</cp:revision>
  <cp:lastPrinted>2017-02-28T13:32:00Z</cp:lastPrinted>
  <dcterms:created xsi:type="dcterms:W3CDTF">2017-03-03T08:01:00Z</dcterms:created>
  <dcterms:modified xsi:type="dcterms:W3CDTF">2017-03-03T08:02:00Z</dcterms:modified>
</cp:coreProperties>
</file>