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2E020" w14:textId="35C5B09B" w:rsidR="0002147C" w:rsidRPr="00AF1F5B" w:rsidRDefault="0002147C" w:rsidP="00E10840">
      <w:pPr>
        <w:spacing w:after="236" w:line="259" w:lineRule="auto"/>
        <w:ind w:left="1176" w:right="0"/>
        <w:rPr>
          <w:rFonts w:asciiTheme="minorHAnsi" w:hAnsiTheme="minorHAnsi" w:cstheme="minorHAnsi"/>
        </w:rPr>
      </w:pPr>
    </w:p>
    <w:p w14:paraId="5B6D11E7" w14:textId="2C3F1C94" w:rsidR="0002147C" w:rsidRPr="00AF1F5B" w:rsidRDefault="00E10840" w:rsidP="00E10840">
      <w:pPr>
        <w:spacing w:after="21" w:line="259" w:lineRule="auto"/>
        <w:ind w:left="2401" w:right="0"/>
        <w:jc w:val="center"/>
        <w:rPr>
          <w:rFonts w:asciiTheme="minorHAnsi" w:hAnsiTheme="minorHAnsi" w:cstheme="minorHAnsi"/>
        </w:rPr>
      </w:pPr>
      <w:r w:rsidRPr="00AF1F5B">
        <w:rPr>
          <w:rFonts w:asciiTheme="minorHAnsi" w:hAnsiTheme="minorHAnsi" w:cstheme="minorHAnsi"/>
          <w:b/>
        </w:rPr>
        <w:t>DARBA UZDEVUMS BŪVES PERIODISKAI TEHNISKAI APSEKOŠANAI</w:t>
      </w:r>
    </w:p>
    <w:p w14:paraId="0254A270" w14:textId="77777777" w:rsidR="0002147C" w:rsidRPr="00AF1F5B" w:rsidRDefault="00E10840">
      <w:pPr>
        <w:spacing w:after="0" w:line="259" w:lineRule="auto"/>
        <w:ind w:left="2391" w:right="0" w:firstLine="0"/>
        <w:jc w:val="left"/>
        <w:rPr>
          <w:rFonts w:asciiTheme="minorHAnsi" w:hAnsiTheme="minorHAnsi" w:cstheme="minorHAnsi"/>
        </w:rPr>
      </w:pPr>
      <w:r w:rsidRPr="00AF1F5B">
        <w:rPr>
          <w:rFonts w:asciiTheme="minorHAnsi" w:hAnsiTheme="minorHAnsi" w:cstheme="minorHAnsi"/>
          <w:b/>
        </w:rPr>
        <w:t xml:space="preserve"> </w:t>
      </w:r>
    </w:p>
    <w:p w14:paraId="03E85C29" w14:textId="3985FE40" w:rsidR="0002147C" w:rsidRPr="00AF1F5B" w:rsidRDefault="00E10840">
      <w:pPr>
        <w:spacing w:after="21" w:line="259" w:lineRule="auto"/>
        <w:ind w:left="1666" w:right="0"/>
        <w:jc w:val="left"/>
        <w:rPr>
          <w:rFonts w:asciiTheme="minorHAnsi" w:hAnsiTheme="minorHAnsi" w:cstheme="minorHAnsi"/>
        </w:rPr>
      </w:pPr>
      <w:r w:rsidRPr="00AF1F5B">
        <w:rPr>
          <w:rFonts w:asciiTheme="minorHAnsi" w:hAnsiTheme="minorHAnsi" w:cstheme="minorHAnsi"/>
          <w:b/>
        </w:rPr>
        <w:t>OBJEKTS</w:t>
      </w:r>
      <w:r w:rsidRPr="00AF1F5B">
        <w:rPr>
          <w:rFonts w:asciiTheme="minorHAnsi" w:hAnsiTheme="minorHAnsi" w:cstheme="minorHAnsi"/>
        </w:rPr>
        <w:t>:</w:t>
      </w:r>
      <w:r w:rsidR="00BC31C9" w:rsidRPr="00AF1F5B">
        <w:rPr>
          <w:rFonts w:asciiTheme="minorHAnsi" w:hAnsiTheme="minorHAnsi" w:cstheme="minorHAnsi"/>
        </w:rPr>
        <w:t xml:space="preserve"> SIA </w:t>
      </w:r>
      <w:r w:rsidR="00AF1F5B" w:rsidRPr="00AF1F5B">
        <w:rPr>
          <w:rFonts w:asciiTheme="minorHAnsi" w:hAnsiTheme="minorHAnsi" w:cstheme="minorHAnsi"/>
        </w:rPr>
        <w:t>“</w:t>
      </w:r>
      <w:r w:rsidR="00BC31C9" w:rsidRPr="00AF1F5B">
        <w:rPr>
          <w:rFonts w:asciiTheme="minorHAnsi" w:hAnsiTheme="minorHAnsi" w:cstheme="minorHAnsi"/>
        </w:rPr>
        <w:t>Jūrmalas slimnīca</w:t>
      </w:r>
      <w:r w:rsidR="00AF1F5B" w:rsidRPr="00AF1F5B">
        <w:rPr>
          <w:rFonts w:asciiTheme="minorHAnsi" w:hAnsiTheme="minorHAnsi" w:cstheme="minorHAnsi"/>
        </w:rPr>
        <w:t>”</w:t>
      </w:r>
    </w:p>
    <w:p w14:paraId="04245097" w14:textId="7A31A49F" w:rsidR="0002147C" w:rsidRPr="00AF1F5B" w:rsidRDefault="00E10840">
      <w:pPr>
        <w:spacing w:after="21" w:line="259" w:lineRule="auto"/>
        <w:ind w:left="1666" w:right="0"/>
        <w:jc w:val="left"/>
        <w:rPr>
          <w:rFonts w:asciiTheme="minorHAnsi" w:hAnsiTheme="minorHAnsi" w:cstheme="minorHAnsi"/>
        </w:rPr>
      </w:pPr>
      <w:r w:rsidRPr="00AF1F5B">
        <w:rPr>
          <w:rFonts w:asciiTheme="minorHAnsi" w:hAnsiTheme="minorHAnsi" w:cstheme="minorHAnsi"/>
          <w:b/>
        </w:rPr>
        <w:t>BŪVES ADRESE</w:t>
      </w:r>
      <w:r w:rsidRPr="00AF1F5B">
        <w:rPr>
          <w:rFonts w:asciiTheme="minorHAnsi" w:hAnsiTheme="minorHAnsi" w:cstheme="minorHAnsi"/>
        </w:rPr>
        <w:t xml:space="preserve">:  </w:t>
      </w:r>
      <w:r w:rsidR="00BC31C9" w:rsidRPr="00AF1F5B">
        <w:rPr>
          <w:rFonts w:asciiTheme="minorHAnsi" w:hAnsiTheme="minorHAnsi" w:cstheme="minorHAnsi"/>
        </w:rPr>
        <w:t>Vienības prospekts 19/21, Jūrmala. LV 2010</w:t>
      </w:r>
    </w:p>
    <w:p w14:paraId="0034641A" w14:textId="4E00A623" w:rsidR="0002147C" w:rsidRPr="00AF1F5B" w:rsidRDefault="00E10840">
      <w:pPr>
        <w:spacing w:after="21" w:line="259" w:lineRule="auto"/>
        <w:ind w:left="1666" w:right="0"/>
        <w:jc w:val="left"/>
        <w:rPr>
          <w:rFonts w:asciiTheme="minorHAnsi" w:hAnsiTheme="minorHAnsi" w:cstheme="minorHAnsi"/>
        </w:rPr>
      </w:pPr>
      <w:r w:rsidRPr="00AF1F5B">
        <w:rPr>
          <w:rFonts w:asciiTheme="minorHAnsi" w:hAnsiTheme="minorHAnsi" w:cstheme="minorHAnsi"/>
          <w:b/>
        </w:rPr>
        <w:t>BŪVES KADASTRA APZĪMĒJUMS</w:t>
      </w:r>
      <w:r w:rsidRPr="00AF1F5B">
        <w:rPr>
          <w:rFonts w:asciiTheme="minorHAnsi" w:hAnsiTheme="minorHAnsi" w:cstheme="minorHAnsi"/>
        </w:rPr>
        <w:t xml:space="preserve">:  </w:t>
      </w:r>
      <w:r w:rsidR="00BC31C9" w:rsidRPr="00AF1F5B">
        <w:rPr>
          <w:rFonts w:asciiTheme="minorHAnsi" w:hAnsiTheme="minorHAnsi" w:cstheme="minorHAnsi"/>
          <w:kern w:val="0"/>
          <w14:ligatures w14:val="none"/>
        </w:rPr>
        <w:t>1300 007 5104 003; 130 0007 5104 004; 130 007 5104 002</w:t>
      </w:r>
    </w:p>
    <w:p w14:paraId="74F0E6F4" w14:textId="59C18B15" w:rsidR="0002147C" w:rsidRPr="00AF1F5B" w:rsidRDefault="00E10840">
      <w:pPr>
        <w:spacing w:after="21" w:line="259" w:lineRule="auto"/>
        <w:ind w:left="1666" w:right="0"/>
        <w:jc w:val="left"/>
        <w:rPr>
          <w:rFonts w:asciiTheme="minorHAnsi" w:hAnsiTheme="minorHAnsi" w:cstheme="minorHAnsi"/>
        </w:rPr>
      </w:pPr>
      <w:r w:rsidRPr="00AF1F5B">
        <w:rPr>
          <w:rFonts w:asciiTheme="minorHAnsi" w:hAnsiTheme="minorHAnsi" w:cstheme="minorHAnsi"/>
          <w:b/>
        </w:rPr>
        <w:t>BŪVES GALVENAIS LIETOŠANAS VEIDS</w:t>
      </w:r>
      <w:r w:rsidRPr="00AF1F5B">
        <w:rPr>
          <w:rFonts w:asciiTheme="minorHAnsi" w:hAnsiTheme="minorHAnsi" w:cstheme="minorHAnsi"/>
        </w:rPr>
        <w:t xml:space="preserve">:  </w:t>
      </w:r>
      <w:r w:rsidR="00AF1F5B" w:rsidRPr="00AF1F5B">
        <w:rPr>
          <w:rFonts w:asciiTheme="minorHAnsi" w:hAnsiTheme="minorHAnsi" w:cstheme="minorHAnsi"/>
        </w:rPr>
        <w:t>ā</w:t>
      </w:r>
      <w:r w:rsidR="00AF1F5B" w:rsidRPr="00AF1F5B">
        <w:rPr>
          <w:rFonts w:asciiTheme="minorHAnsi" w:hAnsiTheme="minorHAnsi" w:cstheme="minorHAnsi"/>
        </w:rPr>
        <w:t>rstniecības iestādes</w:t>
      </w:r>
    </w:p>
    <w:p w14:paraId="58D909B4" w14:textId="6365DBDB" w:rsidR="0002147C" w:rsidRPr="00AF1F5B" w:rsidRDefault="00E10840">
      <w:pPr>
        <w:spacing w:after="21" w:line="259" w:lineRule="auto"/>
        <w:ind w:left="1666" w:right="0"/>
        <w:jc w:val="left"/>
        <w:rPr>
          <w:rFonts w:asciiTheme="minorHAnsi" w:hAnsiTheme="minorHAnsi" w:cstheme="minorHAnsi"/>
        </w:rPr>
      </w:pPr>
      <w:r w:rsidRPr="00AF1F5B">
        <w:rPr>
          <w:rFonts w:asciiTheme="minorHAnsi" w:hAnsiTheme="minorHAnsi" w:cstheme="minorHAnsi"/>
          <w:b/>
        </w:rPr>
        <w:t>BŪVES KOPĒJĀ PLATĪBA</w:t>
      </w:r>
      <w:r w:rsidRPr="00AF1F5B">
        <w:rPr>
          <w:rFonts w:asciiTheme="minorHAnsi" w:hAnsiTheme="minorHAnsi" w:cstheme="minorHAnsi"/>
        </w:rPr>
        <w:t xml:space="preserve">:  </w:t>
      </w:r>
      <w:r w:rsidR="00BC31C9" w:rsidRPr="00AF1F5B">
        <w:rPr>
          <w:rFonts w:asciiTheme="minorHAnsi" w:hAnsiTheme="minorHAnsi" w:cstheme="minorHAnsi"/>
        </w:rPr>
        <w:t xml:space="preserve">8306 </w:t>
      </w:r>
      <w:proofErr w:type="spellStart"/>
      <w:r w:rsidR="00BC31C9" w:rsidRPr="00AF1F5B">
        <w:rPr>
          <w:rFonts w:asciiTheme="minorHAnsi" w:hAnsiTheme="minorHAnsi" w:cstheme="minorHAnsi"/>
        </w:rPr>
        <w:t>kvm</w:t>
      </w:r>
      <w:proofErr w:type="spellEnd"/>
    </w:p>
    <w:p w14:paraId="1A0B7D28" w14:textId="243BFE70" w:rsidR="0002147C" w:rsidRPr="00E10840" w:rsidRDefault="0002147C">
      <w:pPr>
        <w:spacing w:after="21" w:line="259" w:lineRule="auto"/>
        <w:ind w:left="1671" w:right="0" w:firstLine="0"/>
        <w:jc w:val="left"/>
        <w:rPr>
          <w:rFonts w:asciiTheme="minorHAnsi" w:hAnsiTheme="minorHAnsi" w:cstheme="minorHAnsi"/>
        </w:rPr>
      </w:pPr>
    </w:p>
    <w:p w14:paraId="45CD1FCD" w14:textId="77777777" w:rsidR="0002147C" w:rsidRPr="00E10840" w:rsidRDefault="00E10840">
      <w:pPr>
        <w:numPr>
          <w:ilvl w:val="0"/>
          <w:numId w:val="1"/>
        </w:numPr>
        <w:ind w:right="293" w:hanging="566"/>
        <w:rPr>
          <w:rFonts w:asciiTheme="minorHAnsi" w:hAnsiTheme="minorHAnsi" w:cstheme="minorHAnsi"/>
        </w:rPr>
      </w:pPr>
      <w:r w:rsidRPr="00E10840">
        <w:rPr>
          <w:rFonts w:asciiTheme="minorHAnsi" w:hAnsiTheme="minorHAnsi" w:cstheme="minorHAnsi"/>
        </w:rPr>
        <w:t xml:space="preserve">Būves tehnisko apsekošanu veikt atbilstoši Būvju tehniskās apsekošanas būvnormatīvam LBN 405-21, Būvniecības likuma, Vispārējo būvnoteikumu, speciālo būvnoteikumu, Latvijas būvnormatīvu un citu Latvijas Republikā spēkā esošo tiesību aktu prasībām, kā arī šī darba uzdevuma prasībām; </w:t>
      </w:r>
    </w:p>
    <w:p w14:paraId="6949E51F" w14:textId="77777777" w:rsidR="0002147C" w:rsidRPr="00E10840" w:rsidRDefault="00E10840">
      <w:pPr>
        <w:numPr>
          <w:ilvl w:val="0"/>
          <w:numId w:val="1"/>
        </w:numPr>
        <w:ind w:right="293" w:hanging="566"/>
        <w:rPr>
          <w:rFonts w:asciiTheme="minorHAnsi" w:hAnsiTheme="minorHAnsi" w:cstheme="minorHAnsi"/>
        </w:rPr>
      </w:pPr>
      <w:r w:rsidRPr="00E10840">
        <w:rPr>
          <w:rFonts w:asciiTheme="minorHAnsi" w:hAnsiTheme="minorHAnsi" w:cstheme="minorHAnsi"/>
        </w:rPr>
        <w:t xml:space="preserve">Atzinumā norādīt vispārīgās ziņas par būvi. </w:t>
      </w:r>
    </w:p>
    <w:p w14:paraId="52E7B472" w14:textId="77777777" w:rsidR="0002147C" w:rsidRPr="00E10840" w:rsidRDefault="00E10840">
      <w:pPr>
        <w:numPr>
          <w:ilvl w:val="0"/>
          <w:numId w:val="1"/>
        </w:numPr>
        <w:ind w:right="293" w:hanging="566"/>
        <w:rPr>
          <w:rFonts w:asciiTheme="minorHAnsi" w:hAnsiTheme="minorHAnsi" w:cstheme="minorHAnsi"/>
        </w:rPr>
      </w:pPr>
      <w:r w:rsidRPr="00E10840">
        <w:rPr>
          <w:rFonts w:asciiTheme="minorHAnsi" w:hAnsiTheme="minorHAnsi" w:cstheme="minorHAnsi"/>
        </w:rPr>
        <w:t xml:space="preserve">Iepazīties ar pieejamo informāciju par būvi, atzinumā sniedzot iegūtās informācijas pārskatu par apsekojamo / pētāmo objektu. </w:t>
      </w:r>
    </w:p>
    <w:p w14:paraId="1E025F9E" w14:textId="77777777" w:rsidR="0002147C" w:rsidRPr="00E10840" w:rsidRDefault="00E10840">
      <w:pPr>
        <w:numPr>
          <w:ilvl w:val="0"/>
          <w:numId w:val="1"/>
        </w:numPr>
        <w:ind w:right="293" w:hanging="566"/>
        <w:rPr>
          <w:rFonts w:asciiTheme="minorHAnsi" w:hAnsiTheme="minorHAnsi" w:cstheme="minorHAnsi"/>
        </w:rPr>
      </w:pPr>
      <w:r w:rsidRPr="00E10840">
        <w:rPr>
          <w:rFonts w:asciiTheme="minorHAnsi" w:hAnsiTheme="minorHAnsi" w:cstheme="minorHAnsi"/>
        </w:rPr>
        <w:t xml:space="preserve">Sniegt pārskatu par būves apsekošanā / izpētē izmantotajām metodēm un pielietotajām ierīcēm. Aprakstīt būves konstruktīvo shēmu un nesošos elementus. </w:t>
      </w:r>
    </w:p>
    <w:p w14:paraId="5C1B00F2" w14:textId="77777777" w:rsidR="0002147C" w:rsidRPr="00E10840" w:rsidRDefault="00E10840">
      <w:pPr>
        <w:numPr>
          <w:ilvl w:val="0"/>
          <w:numId w:val="1"/>
        </w:numPr>
        <w:ind w:right="293" w:hanging="566"/>
        <w:rPr>
          <w:rFonts w:asciiTheme="minorHAnsi" w:hAnsiTheme="minorHAnsi" w:cstheme="minorHAnsi"/>
        </w:rPr>
      </w:pPr>
      <w:r w:rsidRPr="00E10840">
        <w:rPr>
          <w:rFonts w:asciiTheme="minorHAnsi" w:hAnsiTheme="minorHAnsi" w:cstheme="minorHAnsi"/>
        </w:rPr>
        <w:t xml:space="preserve">Veikt būves raksturīgo mezglu un konstatēto defektu </w:t>
      </w:r>
      <w:proofErr w:type="spellStart"/>
      <w:r w:rsidRPr="00E10840">
        <w:rPr>
          <w:rFonts w:asciiTheme="minorHAnsi" w:hAnsiTheme="minorHAnsi" w:cstheme="minorHAnsi"/>
        </w:rPr>
        <w:t>fotofiksāciju</w:t>
      </w:r>
      <w:proofErr w:type="spellEnd"/>
      <w:r w:rsidRPr="00E10840">
        <w:rPr>
          <w:rFonts w:asciiTheme="minorHAnsi" w:hAnsiTheme="minorHAnsi" w:cstheme="minorHAnsi"/>
        </w:rPr>
        <w:t xml:space="preserve">, tekstā norādot defektu atrašanās vietu, ģeometriskos parametrus (mm, cm, m). </w:t>
      </w:r>
    </w:p>
    <w:p w14:paraId="130027DF" w14:textId="77777777" w:rsidR="0002147C" w:rsidRPr="00E10840" w:rsidRDefault="00E10840">
      <w:pPr>
        <w:numPr>
          <w:ilvl w:val="0"/>
          <w:numId w:val="1"/>
        </w:numPr>
        <w:ind w:right="293" w:hanging="566"/>
        <w:rPr>
          <w:rFonts w:asciiTheme="minorHAnsi" w:hAnsiTheme="minorHAnsi" w:cstheme="minorHAnsi"/>
        </w:rPr>
      </w:pPr>
      <w:r w:rsidRPr="00E10840">
        <w:rPr>
          <w:rFonts w:asciiTheme="minorHAnsi" w:hAnsiTheme="minorHAnsi" w:cstheme="minorHAnsi"/>
        </w:rPr>
        <w:t xml:space="preserve">Novērtēt būves nesošo konstrukciju tehnisko stāvokli visā būves apjomā: </w:t>
      </w:r>
    </w:p>
    <w:p w14:paraId="08065554"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pamati, </w:t>
      </w:r>
    </w:p>
    <w:p w14:paraId="76043DA5"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nesošās sienas, </w:t>
      </w:r>
    </w:p>
    <w:p w14:paraId="1BBDE3BF"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karkass un telpiskās noturības elementi, </w:t>
      </w:r>
    </w:p>
    <w:p w14:paraId="5ED6D327"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pazemes un virszemes stāvu pārsegumi, </w:t>
      </w:r>
    </w:p>
    <w:p w14:paraId="726F64EB"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pārsedzes,  </w:t>
      </w:r>
    </w:p>
    <w:p w14:paraId="367F7ED6"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jumta nesošās konstrukcijas,  </w:t>
      </w:r>
    </w:p>
    <w:p w14:paraId="5431AE22"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eastAsia="Calibri" w:hAnsiTheme="minorHAnsi" w:cstheme="minorHAnsi"/>
          <w:noProof/>
        </w:rPr>
        <mc:AlternateContent>
          <mc:Choice Requires="wpg">
            <w:drawing>
              <wp:anchor distT="0" distB="0" distL="114300" distR="114300" simplePos="0" relativeHeight="251658240" behindDoc="0" locked="0" layoutInCell="1" allowOverlap="1" wp14:anchorId="05EA0D3B" wp14:editId="7F0A4721">
                <wp:simplePos x="0" y="0"/>
                <wp:positionH relativeFrom="page">
                  <wp:posOffset>1061009</wp:posOffset>
                </wp:positionH>
                <wp:positionV relativeFrom="page">
                  <wp:posOffset>-85769</wp:posOffset>
                </wp:positionV>
                <wp:extent cx="91440" cy="139154"/>
                <wp:effectExtent l="0" t="0" r="0" b="0"/>
                <wp:wrapTopAndBottom/>
                <wp:docPr id="2516" name="Group 2516"/>
                <wp:cNvGraphicFramePr/>
                <a:graphic xmlns:a="http://schemas.openxmlformats.org/drawingml/2006/main">
                  <a:graphicData uri="http://schemas.microsoft.com/office/word/2010/wordprocessingGroup">
                    <wpg:wgp>
                      <wpg:cNvGrpSpPr/>
                      <wpg:grpSpPr>
                        <a:xfrm>
                          <a:off x="0" y="0"/>
                          <a:ext cx="91440" cy="139154"/>
                          <a:chOff x="0" y="0"/>
                          <a:chExt cx="91440" cy="139154"/>
                        </a:xfrm>
                      </wpg:grpSpPr>
                      <wps:wsp>
                        <wps:cNvPr id="8" name="Rectangle 8"/>
                        <wps:cNvSpPr/>
                        <wps:spPr>
                          <a:xfrm>
                            <a:off x="0" y="0"/>
                            <a:ext cx="121615" cy="185075"/>
                          </a:xfrm>
                          <a:prstGeom prst="rect">
                            <a:avLst/>
                          </a:prstGeom>
                          <a:ln>
                            <a:noFill/>
                          </a:ln>
                        </wps:spPr>
                        <wps:txbx>
                          <w:txbxContent>
                            <w:p w14:paraId="122B1803" w14:textId="77777777" w:rsidR="0002147C" w:rsidRDefault="00E10840">
                              <w:pPr>
                                <w:spacing w:after="160" w:line="259" w:lineRule="auto"/>
                                <w:ind w:left="0" w:righ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g:wgp>
                  </a:graphicData>
                </a:graphic>
              </wp:anchor>
            </w:drawing>
          </mc:Choice>
          <mc:Fallback>
            <w:pict>
              <v:group w14:anchorId="05EA0D3B" id="Group 2516" o:spid="_x0000_s1026" style="position:absolute;left:0;text-align:left;margin-left:83.55pt;margin-top:-6.75pt;width:7.2pt;height:10.95pt;z-index:251658240;mso-position-horizontal-relative:page;mso-position-vertical-relative:page" coordsize="91440,13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">
                <v:rect id="Rectangle 8" o:spid="_x0000_s1027" style="position:absolute;width:121615;height:185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22B1803" w14:textId="77777777" w:rsidR="0002147C" w:rsidRDefault="00E10840">
                        <w:pPr>
                          <w:spacing w:after="160" w:line="259" w:lineRule="auto"/>
                          <w:ind w:left="0" w:right="0" w:firstLine="0"/>
                          <w:jc w:val="left"/>
                        </w:pPr>
                        <w:r>
                          <w:rPr>
                            <w:rFonts w:ascii="Courier New" w:eastAsia="Courier New" w:hAnsi="Courier New" w:cs="Courier New"/>
                            <w:sz w:val="24"/>
                          </w:rPr>
                          <w:t xml:space="preserve"> </w:t>
                        </w:r>
                      </w:p>
                    </w:txbxContent>
                  </v:textbox>
                </v:rect>
                <w10:wrap type="topAndBottom" anchorx="page" anchory="page"/>
              </v:group>
            </w:pict>
          </mc:Fallback>
        </mc:AlternateContent>
      </w:r>
      <w:r w:rsidRPr="00E10840">
        <w:rPr>
          <w:rFonts w:asciiTheme="minorHAnsi" w:hAnsiTheme="minorHAnsi" w:cstheme="minorHAnsi"/>
        </w:rPr>
        <w:t xml:space="preserve">kāpnes, </w:t>
      </w:r>
      <w:proofErr w:type="spellStart"/>
      <w:r w:rsidRPr="00E10840">
        <w:rPr>
          <w:rFonts w:asciiTheme="minorHAnsi" w:hAnsiTheme="minorHAnsi" w:cstheme="minorHAnsi"/>
        </w:rPr>
        <w:t>pandusi</w:t>
      </w:r>
      <w:proofErr w:type="spellEnd"/>
      <w:r w:rsidRPr="00E10840">
        <w:rPr>
          <w:rFonts w:asciiTheme="minorHAnsi" w:hAnsiTheme="minorHAnsi" w:cstheme="minorHAnsi"/>
        </w:rPr>
        <w:t>, 6.8.</w:t>
      </w:r>
      <w:r w:rsidRPr="00E10840">
        <w:rPr>
          <w:rFonts w:asciiTheme="minorHAnsi" w:eastAsia="Arial" w:hAnsiTheme="minorHAnsi" w:cstheme="minorHAnsi"/>
        </w:rPr>
        <w:t xml:space="preserve"> </w:t>
      </w:r>
      <w:r w:rsidRPr="00E10840">
        <w:rPr>
          <w:rFonts w:asciiTheme="minorHAnsi" w:hAnsiTheme="minorHAnsi" w:cstheme="minorHAnsi"/>
        </w:rPr>
        <w:t xml:space="preserve">lieveņi, rampas, </w:t>
      </w:r>
    </w:p>
    <w:p w14:paraId="10F238C1" w14:textId="77777777" w:rsidR="0002147C" w:rsidRPr="00E10840" w:rsidRDefault="00E10840">
      <w:pPr>
        <w:numPr>
          <w:ilvl w:val="1"/>
          <w:numId w:val="2"/>
        </w:numPr>
        <w:ind w:left="2684" w:right="146" w:hanging="454"/>
        <w:jc w:val="left"/>
        <w:rPr>
          <w:rFonts w:asciiTheme="minorHAnsi" w:hAnsiTheme="minorHAnsi" w:cstheme="minorHAnsi"/>
        </w:rPr>
      </w:pPr>
      <w:r w:rsidRPr="00E10840">
        <w:rPr>
          <w:rFonts w:asciiTheme="minorHAnsi" w:hAnsiTheme="minorHAnsi" w:cstheme="minorHAnsi"/>
        </w:rPr>
        <w:t xml:space="preserve">lifta šahtas, u.c. </w:t>
      </w:r>
    </w:p>
    <w:p w14:paraId="3777F4E4" w14:textId="77777777" w:rsidR="0002147C" w:rsidRPr="00E10840" w:rsidRDefault="00E10840">
      <w:pPr>
        <w:numPr>
          <w:ilvl w:val="1"/>
          <w:numId w:val="2"/>
        </w:numPr>
        <w:spacing w:after="23" w:line="259" w:lineRule="auto"/>
        <w:ind w:left="2684" w:right="146" w:hanging="454"/>
        <w:jc w:val="left"/>
        <w:rPr>
          <w:rFonts w:asciiTheme="minorHAnsi" w:hAnsiTheme="minorHAnsi" w:cstheme="minorHAnsi"/>
        </w:rPr>
      </w:pPr>
      <w:r w:rsidRPr="00E10840">
        <w:rPr>
          <w:rFonts w:asciiTheme="minorHAnsi" w:hAnsiTheme="minorHAnsi" w:cstheme="minorHAnsi"/>
          <w:color w:val="414142"/>
        </w:rPr>
        <w:t>konstrukciju šuvju hermetizācija, hidroizolācija un siltumizolācija</w:t>
      </w:r>
      <w:r w:rsidRPr="00E10840">
        <w:rPr>
          <w:rFonts w:asciiTheme="minorHAnsi" w:hAnsiTheme="minorHAnsi" w:cstheme="minorHAnsi"/>
        </w:rPr>
        <w:t xml:space="preserve"> </w:t>
      </w:r>
    </w:p>
    <w:p w14:paraId="0FFAB230" w14:textId="77777777" w:rsidR="0002147C" w:rsidRPr="00E10840" w:rsidRDefault="00E10840">
      <w:pPr>
        <w:numPr>
          <w:ilvl w:val="0"/>
          <w:numId w:val="1"/>
        </w:numPr>
        <w:ind w:right="293" w:hanging="566"/>
        <w:rPr>
          <w:rFonts w:asciiTheme="minorHAnsi" w:hAnsiTheme="minorHAnsi" w:cstheme="minorHAnsi"/>
        </w:rPr>
      </w:pPr>
      <w:r w:rsidRPr="00E10840">
        <w:rPr>
          <w:rFonts w:asciiTheme="minorHAnsi" w:hAnsiTheme="minorHAnsi" w:cstheme="minorHAnsi"/>
        </w:rPr>
        <w:t xml:space="preserve">Novērtēt būves lietošanas drošumu visā būves apjomā, identificējot iespējamos nokrišanas, uzkrišanas, sadursmes, apdeguma, elektrošoka, eksplozijas riskus. </w:t>
      </w:r>
    </w:p>
    <w:p w14:paraId="1F92895F" w14:textId="77777777" w:rsidR="0002147C" w:rsidRPr="00E10840" w:rsidRDefault="00E10840">
      <w:pPr>
        <w:numPr>
          <w:ilvl w:val="0"/>
          <w:numId w:val="1"/>
        </w:numPr>
        <w:ind w:right="293" w:hanging="566"/>
        <w:rPr>
          <w:rFonts w:asciiTheme="minorHAnsi" w:hAnsiTheme="minorHAnsi" w:cstheme="minorHAnsi"/>
        </w:rPr>
      </w:pPr>
      <w:r w:rsidRPr="00E10840">
        <w:rPr>
          <w:rFonts w:asciiTheme="minorHAnsi" w:hAnsiTheme="minorHAnsi" w:cstheme="minorHAnsi"/>
        </w:rPr>
        <w:t xml:space="preserve">Veikt būvkonstrukciju un to elementu faktiskā tehniskā stāvokļa ugunsizturības novērtējumu, kā arī ugunsdrošībai nozīmīgu inženiertehnisko sistēmu faktiskā tehniskā stāvokļa un darbspējas novērtējumu. </w:t>
      </w:r>
    </w:p>
    <w:p w14:paraId="53ACC240" w14:textId="77777777" w:rsidR="0002147C" w:rsidRPr="00E10840" w:rsidRDefault="00E10840">
      <w:pPr>
        <w:numPr>
          <w:ilvl w:val="0"/>
          <w:numId w:val="1"/>
        </w:numPr>
        <w:ind w:right="293" w:hanging="566"/>
        <w:rPr>
          <w:rFonts w:asciiTheme="minorHAnsi" w:hAnsiTheme="minorHAnsi" w:cstheme="minorHAnsi"/>
        </w:rPr>
      </w:pPr>
      <w:r w:rsidRPr="00E10840">
        <w:rPr>
          <w:rFonts w:asciiTheme="minorHAnsi" w:hAnsiTheme="minorHAnsi" w:cstheme="minorHAnsi"/>
        </w:rPr>
        <w:t xml:space="preserve">Fiksēt patvaļīgās būvniecības pazīmes. </w:t>
      </w:r>
    </w:p>
    <w:p w14:paraId="25A4E8B1" w14:textId="77777777" w:rsidR="0002147C" w:rsidRPr="00E10840" w:rsidRDefault="00E10840">
      <w:pPr>
        <w:numPr>
          <w:ilvl w:val="0"/>
          <w:numId w:val="1"/>
        </w:numPr>
        <w:ind w:right="293" w:hanging="566"/>
        <w:rPr>
          <w:rFonts w:asciiTheme="minorHAnsi" w:hAnsiTheme="minorHAnsi" w:cstheme="minorHAnsi"/>
        </w:rPr>
      </w:pPr>
      <w:r w:rsidRPr="00E10840">
        <w:rPr>
          <w:rFonts w:asciiTheme="minorHAnsi" w:hAnsiTheme="minorHAnsi" w:cstheme="minorHAnsi"/>
        </w:rPr>
        <w:t xml:space="preserve">Novērtēt šādu būves daļu tehnisko stāvokli: </w:t>
      </w:r>
    </w:p>
    <w:p w14:paraId="427FA72A"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nenesošās sienas; </w:t>
      </w:r>
    </w:p>
    <w:p w14:paraId="363CE06F"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grīdas;  </w:t>
      </w:r>
    </w:p>
    <w:p w14:paraId="587AC48F"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jumta segums; </w:t>
      </w:r>
    </w:p>
    <w:p w14:paraId="78D391AA"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lietus ūdens </w:t>
      </w:r>
      <w:proofErr w:type="spellStart"/>
      <w:r w:rsidRPr="00E10840">
        <w:rPr>
          <w:rFonts w:asciiTheme="minorHAnsi" w:hAnsiTheme="minorHAnsi" w:cstheme="minorHAnsi"/>
        </w:rPr>
        <w:t>noteksistēma</w:t>
      </w:r>
      <w:proofErr w:type="spellEnd"/>
      <w:r w:rsidRPr="00E10840">
        <w:rPr>
          <w:rFonts w:asciiTheme="minorHAnsi" w:hAnsiTheme="minorHAnsi" w:cstheme="minorHAnsi"/>
        </w:rPr>
        <w:t xml:space="preserve">; </w:t>
      </w:r>
    </w:p>
    <w:p w14:paraId="6788204A"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ventilācijas šahtas un kanāli, </w:t>
      </w:r>
    </w:p>
    <w:p w14:paraId="6C4BA8B2"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ailu aizpildījums: vārti, durvis, logi, lūkas; </w:t>
      </w:r>
    </w:p>
    <w:p w14:paraId="2D93B17F"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ārējā apdare un arhitektūras detaļas; </w:t>
      </w:r>
    </w:p>
    <w:p w14:paraId="160D204B"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iekšējā apdare un arhitektūras detaļas; u.c.; </w:t>
      </w:r>
    </w:p>
    <w:p w14:paraId="109C97D8" w14:textId="77777777" w:rsidR="0002147C" w:rsidRPr="00E10840" w:rsidRDefault="00E10840">
      <w:pPr>
        <w:numPr>
          <w:ilvl w:val="0"/>
          <w:numId w:val="1"/>
        </w:numPr>
        <w:ind w:right="293" w:hanging="566"/>
        <w:rPr>
          <w:rFonts w:asciiTheme="minorHAnsi" w:hAnsiTheme="minorHAnsi" w:cstheme="minorHAnsi"/>
        </w:rPr>
      </w:pPr>
      <w:r w:rsidRPr="00E10840">
        <w:rPr>
          <w:rFonts w:asciiTheme="minorHAnsi" w:hAnsiTheme="minorHAnsi" w:cstheme="minorHAnsi"/>
        </w:rPr>
        <w:t xml:space="preserve">Novērtēt šādas iekšējo inženiertīklu sistēmas un iekārtas: </w:t>
      </w:r>
    </w:p>
    <w:p w14:paraId="6279EE97"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aukstā ūdens un kanalizācijas sistēmas; </w:t>
      </w:r>
    </w:p>
    <w:p w14:paraId="7AC30EBD"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karstā ūdens sistēma;  </w:t>
      </w:r>
    </w:p>
    <w:p w14:paraId="28195A7A"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lastRenderedPageBreak/>
        <w:t xml:space="preserve">apkures sistēma; </w:t>
      </w:r>
    </w:p>
    <w:p w14:paraId="6FB0D0DC"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ventilācijas un gaisa kondicionēšanas sistēma; 11.5.</w:t>
      </w:r>
      <w:r w:rsidRPr="00E10840">
        <w:rPr>
          <w:rFonts w:asciiTheme="minorHAnsi" w:eastAsia="Arial" w:hAnsiTheme="minorHAnsi" w:cstheme="minorHAnsi"/>
        </w:rPr>
        <w:t xml:space="preserve"> </w:t>
      </w:r>
      <w:r w:rsidRPr="00E10840">
        <w:rPr>
          <w:rFonts w:asciiTheme="minorHAnsi" w:hAnsiTheme="minorHAnsi" w:cstheme="minorHAnsi"/>
        </w:rPr>
        <w:t xml:space="preserve"> elektroapgādes sistēma un elektrotehniskās ietaises; </w:t>
      </w:r>
    </w:p>
    <w:p w14:paraId="6D498041" w14:textId="77777777" w:rsidR="0002147C" w:rsidRPr="00E10840" w:rsidRDefault="00E10840">
      <w:pPr>
        <w:ind w:left="2232" w:right="293"/>
        <w:rPr>
          <w:rFonts w:asciiTheme="minorHAnsi" w:hAnsiTheme="minorHAnsi" w:cstheme="minorHAnsi"/>
        </w:rPr>
      </w:pPr>
      <w:r w:rsidRPr="00E10840">
        <w:rPr>
          <w:rFonts w:asciiTheme="minorHAnsi" w:hAnsiTheme="minorHAnsi" w:cstheme="minorHAnsi"/>
        </w:rPr>
        <w:t>11.6.</w:t>
      </w:r>
      <w:r w:rsidRPr="00E10840">
        <w:rPr>
          <w:rFonts w:asciiTheme="minorHAnsi" w:eastAsia="Arial" w:hAnsiTheme="minorHAnsi" w:cstheme="minorHAnsi"/>
        </w:rPr>
        <w:t xml:space="preserve"> </w:t>
      </w:r>
      <w:r w:rsidRPr="00E10840">
        <w:rPr>
          <w:rFonts w:asciiTheme="minorHAnsi" w:hAnsiTheme="minorHAnsi" w:cstheme="minorHAnsi"/>
        </w:rPr>
        <w:t xml:space="preserve">lifts, pacēlāji un telferi. </w:t>
      </w:r>
    </w:p>
    <w:p w14:paraId="37CA3307" w14:textId="77777777" w:rsidR="0002147C" w:rsidRPr="00E10840" w:rsidRDefault="00E10840">
      <w:pPr>
        <w:numPr>
          <w:ilvl w:val="0"/>
          <w:numId w:val="1"/>
        </w:numPr>
        <w:ind w:right="293" w:hanging="566"/>
        <w:rPr>
          <w:rFonts w:asciiTheme="minorHAnsi" w:hAnsiTheme="minorHAnsi" w:cstheme="minorHAnsi"/>
        </w:rPr>
      </w:pPr>
      <w:r w:rsidRPr="00E10840">
        <w:rPr>
          <w:rFonts w:asciiTheme="minorHAnsi" w:hAnsiTheme="minorHAnsi" w:cstheme="minorHAnsi"/>
        </w:rPr>
        <w:t xml:space="preserve">Sagatavot tehniskās apsekošanas atzinumu: </w:t>
      </w:r>
    </w:p>
    <w:p w14:paraId="63145F4B"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digitālā formātā BIS; </w:t>
      </w:r>
    </w:p>
    <w:p w14:paraId="1F98B297"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PDF un Word formātā digitāli ierakstītu kompaktdiskā (CD-RW) vai zibatmiņā; </w:t>
      </w:r>
    </w:p>
    <w:p w14:paraId="0EC30866" w14:textId="12DB217E" w:rsidR="0002147C" w:rsidRPr="00E10840" w:rsidRDefault="00BC31C9" w:rsidP="00E10840">
      <w:pPr>
        <w:numPr>
          <w:ilvl w:val="1"/>
          <w:numId w:val="1"/>
        </w:numPr>
        <w:ind w:right="293" w:hanging="622"/>
        <w:rPr>
          <w:rFonts w:asciiTheme="minorHAnsi" w:hAnsiTheme="minorHAnsi" w:cstheme="minorHAnsi"/>
        </w:rPr>
      </w:pPr>
      <w:r>
        <w:rPr>
          <w:rFonts w:asciiTheme="minorHAnsi" w:hAnsiTheme="minorHAnsi" w:cstheme="minorHAnsi"/>
        </w:rPr>
        <w:t>2</w:t>
      </w:r>
      <w:r w:rsidR="00E10840" w:rsidRPr="00E10840">
        <w:rPr>
          <w:rFonts w:asciiTheme="minorHAnsi" w:hAnsiTheme="minorHAnsi" w:cstheme="minorHAnsi"/>
        </w:rPr>
        <w:t xml:space="preserve"> eksemplāros drukātā formātā. </w:t>
      </w:r>
    </w:p>
    <w:p w14:paraId="6B25E055" w14:textId="77777777" w:rsidR="0002147C" w:rsidRPr="00E10840" w:rsidRDefault="00E10840">
      <w:pPr>
        <w:numPr>
          <w:ilvl w:val="0"/>
          <w:numId w:val="1"/>
        </w:numPr>
        <w:ind w:right="293" w:hanging="566"/>
        <w:rPr>
          <w:rFonts w:asciiTheme="minorHAnsi" w:hAnsiTheme="minorHAnsi" w:cstheme="minorHAnsi"/>
        </w:rPr>
      </w:pPr>
      <w:r w:rsidRPr="00E10840">
        <w:rPr>
          <w:rFonts w:asciiTheme="minorHAnsi" w:hAnsiTheme="minorHAnsi" w:cstheme="minorHAnsi"/>
        </w:rPr>
        <w:t xml:space="preserve">Tehniskās apsekošanas atzinuma kopsavilkumā sniegt šādu informāciju : </w:t>
      </w:r>
    </w:p>
    <w:p w14:paraId="271C0E52" w14:textId="77777777" w:rsidR="0002147C" w:rsidRPr="00E10840" w:rsidRDefault="00E10840">
      <w:pPr>
        <w:numPr>
          <w:ilvl w:val="1"/>
          <w:numId w:val="1"/>
        </w:numPr>
        <w:ind w:right="293" w:hanging="622"/>
        <w:rPr>
          <w:rFonts w:asciiTheme="minorHAnsi" w:hAnsiTheme="minorHAnsi" w:cstheme="minorHAnsi"/>
        </w:rPr>
      </w:pPr>
      <w:proofErr w:type="spellStart"/>
      <w:r w:rsidRPr="00E10840">
        <w:rPr>
          <w:rFonts w:asciiTheme="minorHAnsi" w:hAnsiTheme="minorHAnsi" w:cstheme="minorHAnsi"/>
        </w:rPr>
        <w:t>būvspeciālista</w:t>
      </w:r>
      <w:proofErr w:type="spellEnd"/>
      <w:r w:rsidRPr="00E10840">
        <w:rPr>
          <w:rFonts w:asciiTheme="minorHAnsi" w:hAnsiTheme="minorHAnsi" w:cstheme="minorHAnsi"/>
        </w:rPr>
        <w:t xml:space="preserve"> secinājumus par būves atbilstību šādām Būvniecības likuma 9. pantā noteiktām būtiskām prasībām: </w:t>
      </w:r>
    </w:p>
    <w:p w14:paraId="7A5E39ED" w14:textId="77777777" w:rsidR="0002147C" w:rsidRPr="00E10840" w:rsidRDefault="00E10840">
      <w:pPr>
        <w:numPr>
          <w:ilvl w:val="2"/>
          <w:numId w:val="1"/>
        </w:numPr>
        <w:ind w:left="2932" w:right="293" w:hanging="710"/>
        <w:rPr>
          <w:rFonts w:asciiTheme="minorHAnsi" w:hAnsiTheme="minorHAnsi" w:cstheme="minorHAnsi"/>
        </w:rPr>
      </w:pPr>
      <w:r w:rsidRPr="00E10840">
        <w:rPr>
          <w:rFonts w:asciiTheme="minorHAnsi" w:hAnsiTheme="minorHAnsi" w:cstheme="minorHAnsi"/>
        </w:rPr>
        <w:t xml:space="preserve">mehāniskā stiprība un stabilitāte; </w:t>
      </w:r>
    </w:p>
    <w:p w14:paraId="0BE126A5" w14:textId="77777777" w:rsidR="0002147C" w:rsidRPr="00E10840" w:rsidRDefault="00E10840">
      <w:pPr>
        <w:numPr>
          <w:ilvl w:val="2"/>
          <w:numId w:val="1"/>
        </w:numPr>
        <w:ind w:left="2932" w:right="293" w:hanging="710"/>
        <w:rPr>
          <w:rFonts w:asciiTheme="minorHAnsi" w:hAnsiTheme="minorHAnsi" w:cstheme="minorHAnsi"/>
        </w:rPr>
      </w:pPr>
      <w:r w:rsidRPr="00E10840">
        <w:rPr>
          <w:rFonts w:asciiTheme="minorHAnsi" w:hAnsiTheme="minorHAnsi" w:cstheme="minorHAnsi"/>
        </w:rPr>
        <w:t xml:space="preserve">ugunsdrošība; </w:t>
      </w:r>
    </w:p>
    <w:p w14:paraId="579450FF" w14:textId="77777777" w:rsidR="0002147C" w:rsidRPr="00E10840" w:rsidRDefault="00E10840">
      <w:pPr>
        <w:numPr>
          <w:ilvl w:val="2"/>
          <w:numId w:val="1"/>
        </w:numPr>
        <w:ind w:left="2932" w:right="293" w:hanging="710"/>
        <w:rPr>
          <w:rFonts w:asciiTheme="minorHAnsi" w:hAnsiTheme="minorHAnsi" w:cstheme="minorHAnsi"/>
        </w:rPr>
      </w:pPr>
      <w:r w:rsidRPr="00E10840">
        <w:rPr>
          <w:rFonts w:asciiTheme="minorHAnsi" w:hAnsiTheme="minorHAnsi" w:cstheme="minorHAnsi"/>
        </w:rPr>
        <w:t xml:space="preserve">lietošanas drošība un vides pieejamība; </w:t>
      </w:r>
    </w:p>
    <w:p w14:paraId="6FF4244B" w14:textId="77777777" w:rsidR="0002147C" w:rsidRPr="00E10840" w:rsidRDefault="00E10840">
      <w:pPr>
        <w:numPr>
          <w:ilvl w:val="1"/>
          <w:numId w:val="1"/>
        </w:numPr>
        <w:ind w:right="293" w:hanging="622"/>
        <w:rPr>
          <w:rFonts w:asciiTheme="minorHAnsi" w:hAnsiTheme="minorHAnsi" w:cstheme="minorHAnsi"/>
        </w:rPr>
      </w:pPr>
      <w:r w:rsidRPr="00E10840">
        <w:rPr>
          <w:rFonts w:asciiTheme="minorHAnsi" w:hAnsiTheme="minorHAnsi" w:cstheme="minorHAnsi"/>
        </w:rPr>
        <w:t xml:space="preserve">informāciju par iespējamām patvaļīgās būvniecības pazīmēm. </w:t>
      </w:r>
    </w:p>
    <w:p w14:paraId="04215367" w14:textId="77777777" w:rsidR="0002147C" w:rsidRPr="00E10840" w:rsidRDefault="00E10840">
      <w:pPr>
        <w:numPr>
          <w:ilvl w:val="0"/>
          <w:numId w:val="1"/>
        </w:numPr>
        <w:spacing w:after="25" w:line="269" w:lineRule="auto"/>
        <w:ind w:right="293" w:hanging="566"/>
        <w:rPr>
          <w:rFonts w:asciiTheme="minorHAnsi" w:hAnsiTheme="minorHAnsi" w:cstheme="minorHAnsi"/>
        </w:rPr>
      </w:pPr>
      <w:r w:rsidRPr="00E10840">
        <w:rPr>
          <w:rFonts w:asciiTheme="minorHAnsi" w:hAnsiTheme="minorHAnsi" w:cstheme="minorHAnsi"/>
        </w:rPr>
        <w:t xml:space="preserve">Tehniskās apsekošanas atzinumā sniegt ieteikumus ēkas īpašniekam par veicamajiem pasākumiem, lai nodrošinātu ēkas racionālas ekspluatācijas izmaksas un tās atbilstību Būvniecības likuma 9. pantā noteiktām būtiskām prasībām.  </w:t>
      </w:r>
    </w:p>
    <w:p w14:paraId="0D89372A" w14:textId="77777777" w:rsidR="0002147C" w:rsidRPr="00E10840" w:rsidRDefault="00E10840">
      <w:pPr>
        <w:numPr>
          <w:ilvl w:val="0"/>
          <w:numId w:val="1"/>
        </w:numPr>
        <w:spacing w:after="25" w:line="269" w:lineRule="auto"/>
        <w:ind w:right="293" w:hanging="566"/>
        <w:rPr>
          <w:rFonts w:asciiTheme="minorHAnsi" w:hAnsiTheme="minorHAnsi" w:cstheme="minorHAnsi"/>
        </w:rPr>
      </w:pPr>
      <w:r w:rsidRPr="00E10840">
        <w:rPr>
          <w:rFonts w:asciiTheme="minorHAnsi" w:hAnsiTheme="minorHAnsi" w:cstheme="minorHAnsi"/>
        </w:rPr>
        <w:t xml:space="preserve">Ja tehniskās apsekošanas laikā tiek konstatēti ēkas bojājumi, kas var mazināt ēkas stiprību vai noturību, apsekošanas atzinumā ir jānorāda par tehniskās izpētes nepieciešamību, precizējot  izpētes veidu (konstrukciju atsegšana, urbumu izveide, deformāciju novērtēšana, pārbaude ar </w:t>
      </w:r>
      <w:proofErr w:type="spellStart"/>
      <w:r w:rsidRPr="00E10840">
        <w:rPr>
          <w:rFonts w:asciiTheme="minorHAnsi" w:hAnsiTheme="minorHAnsi" w:cstheme="minorHAnsi"/>
        </w:rPr>
        <w:t>kontrolslogošanu</w:t>
      </w:r>
      <w:proofErr w:type="spellEnd"/>
      <w:r w:rsidRPr="00E10840">
        <w:rPr>
          <w:rFonts w:asciiTheme="minorHAnsi" w:hAnsiTheme="minorHAnsi" w:cstheme="minorHAnsi"/>
        </w:rPr>
        <w:t xml:space="preserve">, materiālu pārbaude laboratorijās vai citas nepieciešamās pārbaudes). </w:t>
      </w:r>
    </w:p>
    <w:p w14:paraId="64160831" w14:textId="77777777" w:rsidR="0002147C" w:rsidRPr="00E10840" w:rsidRDefault="00E10840">
      <w:pPr>
        <w:numPr>
          <w:ilvl w:val="0"/>
          <w:numId w:val="1"/>
        </w:numPr>
        <w:spacing w:after="62"/>
        <w:ind w:right="293" w:hanging="566"/>
        <w:rPr>
          <w:rFonts w:asciiTheme="minorHAnsi" w:hAnsiTheme="minorHAnsi" w:cstheme="minorHAnsi"/>
        </w:rPr>
      </w:pPr>
      <w:r w:rsidRPr="00E10840">
        <w:rPr>
          <w:rFonts w:asciiTheme="minorHAnsi" w:hAnsiTheme="minorHAnsi" w:cstheme="minorHAnsi"/>
        </w:rPr>
        <w:t xml:space="preserve">Tehniskās apsekošanas atzinumā sniegt </w:t>
      </w:r>
      <w:proofErr w:type="spellStart"/>
      <w:r w:rsidRPr="00E10840">
        <w:rPr>
          <w:rFonts w:asciiTheme="minorHAnsi" w:hAnsiTheme="minorHAnsi" w:cstheme="minorHAnsi"/>
        </w:rPr>
        <w:t>apsekotāja</w:t>
      </w:r>
      <w:proofErr w:type="spellEnd"/>
      <w:r w:rsidRPr="00E10840">
        <w:rPr>
          <w:rFonts w:asciiTheme="minorHAnsi" w:hAnsiTheme="minorHAnsi" w:cstheme="minorHAnsi"/>
        </w:rPr>
        <w:t xml:space="preserve"> (</w:t>
      </w:r>
      <w:proofErr w:type="spellStart"/>
      <w:r w:rsidRPr="00E10840">
        <w:rPr>
          <w:rFonts w:asciiTheme="minorHAnsi" w:hAnsiTheme="minorHAnsi" w:cstheme="minorHAnsi"/>
        </w:rPr>
        <w:t>būvspeciālista</w:t>
      </w:r>
      <w:proofErr w:type="spellEnd"/>
      <w:r w:rsidRPr="00E10840">
        <w:rPr>
          <w:rFonts w:asciiTheme="minorHAnsi" w:hAnsiTheme="minorHAnsi" w:cstheme="minorHAnsi"/>
        </w:rPr>
        <w:t xml:space="preserve">) norādījumus par veicamajiem pasākumiem, kas nepieciešami, lai saglabātu vai uzlabotu būves tehnisko stāvokli, un kuru neizpilde </w:t>
      </w:r>
      <w:proofErr w:type="spellStart"/>
      <w:r w:rsidRPr="00E10840">
        <w:rPr>
          <w:rFonts w:asciiTheme="minorHAnsi" w:hAnsiTheme="minorHAnsi" w:cstheme="minorHAnsi"/>
        </w:rPr>
        <w:t>apsekotāja</w:t>
      </w:r>
      <w:proofErr w:type="spellEnd"/>
      <w:r w:rsidRPr="00E10840">
        <w:rPr>
          <w:rFonts w:asciiTheme="minorHAnsi" w:hAnsiTheme="minorHAnsi" w:cstheme="minorHAnsi"/>
        </w:rPr>
        <w:t xml:space="preserve"> noteiktajā termiņā var radīt kaitējumu būves lietotājam vai apkārtējiem. </w:t>
      </w:r>
    </w:p>
    <w:p w14:paraId="3C453A02" w14:textId="77777777" w:rsidR="0002147C" w:rsidRPr="00E10840" w:rsidRDefault="00E10840">
      <w:pPr>
        <w:spacing w:after="209" w:line="259" w:lineRule="auto"/>
        <w:ind w:left="0" w:right="0" w:firstLine="0"/>
        <w:jc w:val="left"/>
        <w:rPr>
          <w:rFonts w:asciiTheme="minorHAnsi" w:hAnsiTheme="minorHAnsi" w:cstheme="minorHAnsi"/>
        </w:rPr>
      </w:pPr>
      <w:r w:rsidRPr="00E10840">
        <w:rPr>
          <w:rFonts w:asciiTheme="minorHAnsi" w:hAnsiTheme="minorHAnsi" w:cstheme="minorHAnsi"/>
        </w:rPr>
        <w:t xml:space="preserve"> </w:t>
      </w:r>
    </w:p>
    <w:p w14:paraId="46CF4262" w14:textId="77777777" w:rsidR="0002147C" w:rsidRPr="00E10840" w:rsidRDefault="00E10840">
      <w:pPr>
        <w:spacing w:after="21" w:line="259" w:lineRule="auto"/>
        <w:ind w:left="0" w:right="0" w:firstLine="0"/>
        <w:jc w:val="left"/>
        <w:rPr>
          <w:rFonts w:asciiTheme="minorHAnsi" w:hAnsiTheme="minorHAnsi" w:cstheme="minorHAnsi"/>
        </w:rPr>
      </w:pPr>
      <w:r w:rsidRPr="00E10840">
        <w:rPr>
          <w:rFonts w:asciiTheme="minorHAnsi" w:hAnsiTheme="minorHAnsi" w:cstheme="minorHAnsi"/>
        </w:rPr>
        <w:t xml:space="preserve"> </w:t>
      </w:r>
    </w:p>
    <w:p w14:paraId="18327369" w14:textId="77777777" w:rsidR="0002147C" w:rsidRPr="00E10840" w:rsidRDefault="00E10840">
      <w:pPr>
        <w:tabs>
          <w:tab w:val="center" w:pos="1668"/>
          <w:tab w:val="center" w:pos="3038"/>
          <w:tab w:val="center" w:pos="7766"/>
        </w:tabs>
        <w:spacing w:after="145" w:line="259" w:lineRule="auto"/>
        <w:ind w:left="0" w:right="0" w:firstLine="0"/>
        <w:jc w:val="left"/>
        <w:rPr>
          <w:rFonts w:asciiTheme="minorHAnsi" w:hAnsiTheme="minorHAnsi" w:cstheme="minorHAnsi"/>
        </w:rPr>
      </w:pPr>
      <w:r w:rsidRPr="00E10840">
        <w:rPr>
          <w:rFonts w:asciiTheme="minorHAnsi" w:eastAsia="Calibri" w:hAnsiTheme="minorHAnsi" w:cstheme="minorHAnsi"/>
        </w:rPr>
        <w:tab/>
      </w:r>
      <w:r w:rsidRPr="00E10840">
        <w:rPr>
          <w:rFonts w:asciiTheme="minorHAnsi" w:hAnsiTheme="minorHAnsi" w:cstheme="minorHAnsi"/>
        </w:rPr>
        <w:t xml:space="preserve"> </w:t>
      </w:r>
      <w:r w:rsidRPr="00E10840">
        <w:rPr>
          <w:rFonts w:asciiTheme="minorHAnsi" w:hAnsiTheme="minorHAnsi" w:cstheme="minorHAnsi"/>
        </w:rPr>
        <w:tab/>
      </w:r>
      <w:r w:rsidRPr="00E10840">
        <w:rPr>
          <w:rFonts w:asciiTheme="minorHAnsi" w:hAnsiTheme="minorHAnsi" w:cstheme="minorHAnsi"/>
          <w:b/>
        </w:rPr>
        <w:t xml:space="preserve">PASŪTĪTĀJS: </w:t>
      </w:r>
      <w:r w:rsidRPr="00E10840">
        <w:rPr>
          <w:rFonts w:asciiTheme="minorHAnsi" w:hAnsiTheme="minorHAnsi" w:cstheme="minorHAnsi"/>
          <w:b/>
        </w:rPr>
        <w:tab/>
        <w:t xml:space="preserve">APSEKOŠANAS VEICĒJS: </w:t>
      </w:r>
    </w:p>
    <w:p w14:paraId="62823366" w14:textId="77777777" w:rsidR="0002147C" w:rsidRPr="00E10840" w:rsidRDefault="00E10840">
      <w:pPr>
        <w:spacing w:after="18" w:line="259" w:lineRule="auto"/>
        <w:ind w:left="1668" w:right="0" w:firstLine="0"/>
        <w:jc w:val="left"/>
        <w:rPr>
          <w:rFonts w:asciiTheme="minorHAnsi" w:hAnsiTheme="minorHAnsi" w:cstheme="minorHAnsi"/>
        </w:rPr>
      </w:pPr>
      <w:r w:rsidRPr="00E10840">
        <w:rPr>
          <w:rFonts w:asciiTheme="minorHAnsi" w:eastAsia="Calibri" w:hAnsiTheme="minorHAnsi" w:cstheme="minorHAnsi"/>
          <w:noProof/>
        </w:rPr>
        <mc:AlternateContent>
          <mc:Choice Requires="wpg">
            <w:drawing>
              <wp:anchor distT="0" distB="0" distL="114300" distR="114300" simplePos="0" relativeHeight="251659264" behindDoc="0" locked="0" layoutInCell="1" allowOverlap="1" wp14:anchorId="4857ADC1" wp14:editId="66B1AD30">
                <wp:simplePos x="0" y="0"/>
                <wp:positionH relativeFrom="page">
                  <wp:posOffset>1061009</wp:posOffset>
                </wp:positionH>
                <wp:positionV relativeFrom="page">
                  <wp:posOffset>-85769</wp:posOffset>
                </wp:positionV>
                <wp:extent cx="91440" cy="139154"/>
                <wp:effectExtent l="0" t="0" r="0" b="0"/>
                <wp:wrapTopAndBottom/>
                <wp:docPr id="2300" name="Group 2300"/>
                <wp:cNvGraphicFramePr/>
                <a:graphic xmlns:a="http://schemas.openxmlformats.org/drawingml/2006/main">
                  <a:graphicData uri="http://schemas.microsoft.com/office/word/2010/wordprocessingGroup">
                    <wpg:wgp>
                      <wpg:cNvGrpSpPr/>
                      <wpg:grpSpPr>
                        <a:xfrm>
                          <a:off x="0" y="0"/>
                          <a:ext cx="91440" cy="139154"/>
                          <a:chOff x="0" y="0"/>
                          <a:chExt cx="91440" cy="139154"/>
                        </a:xfrm>
                      </wpg:grpSpPr>
                      <wps:wsp>
                        <wps:cNvPr id="275" name="Rectangle 275"/>
                        <wps:cNvSpPr/>
                        <wps:spPr>
                          <a:xfrm>
                            <a:off x="0" y="0"/>
                            <a:ext cx="121615" cy="185075"/>
                          </a:xfrm>
                          <a:prstGeom prst="rect">
                            <a:avLst/>
                          </a:prstGeom>
                          <a:ln>
                            <a:noFill/>
                          </a:ln>
                        </wps:spPr>
                        <wps:txbx>
                          <w:txbxContent>
                            <w:p w14:paraId="627C76EC" w14:textId="77777777" w:rsidR="0002147C" w:rsidRDefault="00E10840">
                              <w:pPr>
                                <w:spacing w:after="160" w:line="259" w:lineRule="auto"/>
                                <w:ind w:left="0" w:righ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g:wgp>
                  </a:graphicData>
                </a:graphic>
              </wp:anchor>
            </w:drawing>
          </mc:Choice>
          <mc:Fallback>
            <w:pict>
              <v:group w14:anchorId="4857ADC1" id="Group 2300" o:spid="_x0000_s1028" style="position:absolute;left:0;text-align:left;margin-left:83.55pt;margin-top:-6.75pt;width:7.2pt;height:10.95pt;z-index:251659264;mso-position-horizontal-relative:page;mso-position-vertical-relative:page" coordsize="91440,13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">
                <v:rect id="Rectangle 275" o:spid="_x0000_s1029" style="position:absolute;width:121615;height:185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627C76EC" w14:textId="77777777" w:rsidR="0002147C" w:rsidRDefault="00E10840">
                        <w:pPr>
                          <w:spacing w:after="160" w:line="259" w:lineRule="auto"/>
                          <w:ind w:left="0" w:right="0" w:firstLine="0"/>
                          <w:jc w:val="left"/>
                        </w:pPr>
                        <w:r>
                          <w:rPr>
                            <w:rFonts w:ascii="Courier New" w:eastAsia="Courier New" w:hAnsi="Courier New" w:cs="Courier New"/>
                            <w:sz w:val="24"/>
                          </w:rPr>
                          <w:t xml:space="preserve"> </w:t>
                        </w:r>
                      </w:p>
                    </w:txbxContent>
                  </v:textbox>
                </v:rect>
                <w10:wrap type="topAndBottom" anchorx="page" anchory="page"/>
              </v:group>
            </w:pict>
          </mc:Fallback>
        </mc:AlternateContent>
      </w:r>
      <w:r w:rsidRPr="00E10840">
        <w:rPr>
          <w:rFonts w:asciiTheme="minorHAnsi" w:hAnsiTheme="minorHAnsi" w:cstheme="minorHAnsi"/>
        </w:rPr>
        <w:t xml:space="preserve"> </w:t>
      </w:r>
    </w:p>
    <w:p w14:paraId="37FAA8FF" w14:textId="77777777" w:rsidR="0002147C" w:rsidRPr="00E10840" w:rsidRDefault="00E10840">
      <w:pPr>
        <w:spacing w:after="0" w:line="259" w:lineRule="auto"/>
        <w:ind w:left="0" w:right="0" w:firstLine="0"/>
        <w:jc w:val="left"/>
        <w:rPr>
          <w:rFonts w:asciiTheme="minorHAnsi" w:hAnsiTheme="minorHAnsi" w:cstheme="minorHAnsi"/>
        </w:rPr>
      </w:pPr>
      <w:r w:rsidRPr="00E10840">
        <w:rPr>
          <w:rFonts w:asciiTheme="minorHAnsi" w:hAnsiTheme="minorHAnsi" w:cstheme="minorHAnsi"/>
        </w:rPr>
        <w:t xml:space="preserve">                                                                        </w:t>
      </w:r>
      <w:r w:rsidRPr="00E10840">
        <w:rPr>
          <w:rFonts w:asciiTheme="minorHAnsi" w:hAnsiTheme="minorHAnsi" w:cstheme="minorHAnsi"/>
        </w:rPr>
        <w:tab/>
        <w:t xml:space="preserve">                                             </w:t>
      </w:r>
    </w:p>
    <w:p w14:paraId="2632096B" w14:textId="77777777" w:rsidR="0002147C" w:rsidRPr="00E10840" w:rsidRDefault="00E10840">
      <w:pPr>
        <w:spacing w:after="2" w:line="259" w:lineRule="auto"/>
        <w:ind w:left="2280" w:right="0" w:firstLine="0"/>
        <w:jc w:val="left"/>
        <w:rPr>
          <w:rFonts w:asciiTheme="minorHAnsi" w:hAnsiTheme="minorHAnsi" w:cstheme="minorHAnsi"/>
        </w:rPr>
      </w:pPr>
      <w:r w:rsidRPr="00E10840">
        <w:rPr>
          <w:rFonts w:asciiTheme="minorHAnsi" w:eastAsia="Calibri" w:hAnsiTheme="minorHAnsi" w:cstheme="minorHAnsi"/>
          <w:noProof/>
        </w:rPr>
        <mc:AlternateContent>
          <mc:Choice Requires="wpg">
            <w:drawing>
              <wp:inline distT="0" distB="0" distL="0" distR="0" wp14:anchorId="494DEFBE" wp14:editId="4DF315AD">
                <wp:extent cx="4582033" cy="6096"/>
                <wp:effectExtent l="0" t="0" r="0" b="0"/>
                <wp:docPr id="2234" name="Group 2234"/>
                <wp:cNvGraphicFramePr/>
                <a:graphic xmlns:a="http://schemas.openxmlformats.org/drawingml/2006/main">
                  <a:graphicData uri="http://schemas.microsoft.com/office/word/2010/wordprocessingGroup">
                    <wpg:wgp>
                      <wpg:cNvGrpSpPr/>
                      <wpg:grpSpPr>
                        <a:xfrm>
                          <a:off x="0" y="0"/>
                          <a:ext cx="4582033" cy="6096"/>
                          <a:chOff x="0" y="0"/>
                          <a:chExt cx="4582033" cy="6096"/>
                        </a:xfrm>
                      </wpg:grpSpPr>
                      <wps:wsp>
                        <wps:cNvPr id="2783" name="Shape 2783"/>
                        <wps:cNvSpPr/>
                        <wps:spPr>
                          <a:xfrm>
                            <a:off x="0" y="0"/>
                            <a:ext cx="4582033" cy="9144"/>
                          </a:xfrm>
                          <a:custGeom>
                            <a:avLst/>
                            <a:gdLst/>
                            <a:ahLst/>
                            <a:cxnLst/>
                            <a:rect l="0" t="0" r="0" b="0"/>
                            <a:pathLst>
                              <a:path w="4582033" h="9144">
                                <a:moveTo>
                                  <a:pt x="0" y="0"/>
                                </a:moveTo>
                                <a:lnTo>
                                  <a:pt x="4582033" y="0"/>
                                </a:lnTo>
                                <a:lnTo>
                                  <a:pt x="45820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34" style="width:360.79pt;height:0.480011pt;mso-position-horizontal-relative:char;mso-position-vertical-relative:line" coordsize="45820,60">
                <v:shape id="Shape 2784" style="position:absolute;width:45820;height:91;left:0;top:0;" coordsize="4582033,9144" path="m0,0l4582033,0l4582033,9144l0,9144l0,0">
                  <v:stroke weight="0pt" endcap="flat" joinstyle="miter" miterlimit="10" on="false" color="#000000" opacity="0"/>
                  <v:fill on="true" color="#000000"/>
                </v:shape>
              </v:group>
            </w:pict>
          </mc:Fallback>
        </mc:AlternateContent>
      </w:r>
    </w:p>
    <w:p w14:paraId="5EF8B2A3" w14:textId="55B04F60" w:rsidR="0002147C" w:rsidRPr="00E10840" w:rsidRDefault="00E10840" w:rsidP="00AF1F5B">
      <w:pPr>
        <w:spacing w:after="5161"/>
        <w:ind w:left="2319" w:right="293"/>
        <w:rPr>
          <w:rFonts w:asciiTheme="minorHAnsi" w:hAnsiTheme="minorHAnsi" w:cstheme="minorHAnsi"/>
        </w:rPr>
      </w:pPr>
      <w:r w:rsidRPr="00E10840">
        <w:rPr>
          <w:rFonts w:asciiTheme="minorHAnsi" w:hAnsiTheme="minorHAnsi" w:cstheme="minorHAnsi"/>
        </w:rPr>
        <w:t xml:space="preserve">/paraksts /                                                                                 /paraksts /          </w:t>
      </w:r>
    </w:p>
    <w:sectPr w:rsidR="0002147C" w:rsidRPr="00E10840">
      <w:pgSz w:w="11899" w:h="16841"/>
      <w:pgMar w:top="768" w:right="817" w:bottom="1138"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72F91"/>
    <w:multiLevelType w:val="multilevel"/>
    <w:tmpl w:val="F3C0D7D2"/>
    <w:lvl w:ilvl="0">
      <w:start w:val="1"/>
      <w:numFmt w:val="decimal"/>
      <w:lvlText w:val="%1."/>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12669A"/>
    <w:multiLevelType w:val="multilevel"/>
    <w:tmpl w:val="F446B764"/>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2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41724818">
    <w:abstractNumId w:val="0"/>
  </w:num>
  <w:num w:numId="2" w16cid:durableId="734200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47C"/>
    <w:rsid w:val="0002147C"/>
    <w:rsid w:val="00047A52"/>
    <w:rsid w:val="001143D3"/>
    <w:rsid w:val="002830D3"/>
    <w:rsid w:val="00AF1F5B"/>
    <w:rsid w:val="00BC31C9"/>
    <w:rsid w:val="00E108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1647"/>
  <w15:docId w15:val="{7800E3F0-44FF-44FF-8292-98BD4AC6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7" w:lineRule="auto"/>
      <w:ind w:left="1681" w:right="308"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414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D44B1-C45F-4775-91FD-2DDAFDC5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2585</Words>
  <Characters>1475</Characters>
  <Application>Microsoft Office Word</Application>
  <DocSecurity>4</DocSecurity>
  <Lines>12</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Stumpe</dc:creator>
  <cp:keywords/>
  <cp:lastModifiedBy>Elīna Pļaviņa</cp:lastModifiedBy>
  <cp:revision>2</cp:revision>
  <dcterms:created xsi:type="dcterms:W3CDTF">2024-07-10T10:59:00Z</dcterms:created>
  <dcterms:modified xsi:type="dcterms:W3CDTF">2024-07-10T10:59:00Z</dcterms:modified>
</cp:coreProperties>
</file>